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C1" w:rsidRDefault="006B4BC1">
      <w:bookmarkStart w:id="0" w:name="_GoBack"/>
      <w:bookmarkEnd w:id="0"/>
      <w:r>
        <w:rPr>
          <w:noProof/>
          <w:lang w:eastAsia="fr-FR"/>
        </w:rPr>
        <w:drawing>
          <wp:anchor distT="0" distB="0" distL="114300" distR="114300" simplePos="0" relativeHeight="251659264" behindDoc="0" locked="0" layoutInCell="1" allowOverlap="1" wp14:anchorId="100E8A09" wp14:editId="18D23C9C">
            <wp:simplePos x="0" y="0"/>
            <wp:positionH relativeFrom="column">
              <wp:posOffset>4311015</wp:posOffset>
            </wp:positionH>
            <wp:positionV relativeFrom="paragraph">
              <wp:posOffset>-487045</wp:posOffset>
            </wp:positionV>
            <wp:extent cx="2254250" cy="826135"/>
            <wp:effectExtent l="0" t="0" r="0" b="0"/>
            <wp:wrapSquare wrapText="bothSides"/>
            <wp:docPr id="1" name="Image 1" descr="http://idata.over-blog.com/2/91/09/96/AF-LOGOS-PANTONE-180309-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data.over-blog.com/2/91/09/96/AF-LOGOS-PANTONE-180309-copi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54250" cy="826135"/>
                    </a:xfrm>
                    <a:prstGeom prst="rect">
                      <a:avLst/>
                    </a:prstGeom>
                    <a:noFill/>
                    <a:ln>
                      <a:noFill/>
                    </a:ln>
                  </pic:spPr>
                </pic:pic>
              </a:graphicData>
            </a:graphic>
          </wp:anchor>
        </w:drawing>
      </w:r>
    </w:p>
    <w:p w:rsidR="00E27411" w:rsidRDefault="00E27411" w:rsidP="006B4BC1"/>
    <w:p w:rsidR="001A4E05" w:rsidRDefault="006B4BC1" w:rsidP="001A4E05">
      <w:pPr>
        <w:pStyle w:val="Titre"/>
        <w:pBdr>
          <w:bottom w:val="single" w:sz="8" w:space="18" w:color="4F81BD" w:themeColor="accent1"/>
        </w:pBdr>
        <w:rPr>
          <w:rStyle w:val="Emphaseple"/>
          <w:i w:val="0"/>
          <w:sz w:val="36"/>
          <w:szCs w:val="36"/>
        </w:rPr>
      </w:pPr>
      <w:r w:rsidRPr="00413925">
        <w:rPr>
          <w:rStyle w:val="Emphaseple"/>
          <w:i w:val="0"/>
          <w:sz w:val="36"/>
          <w:szCs w:val="36"/>
        </w:rPr>
        <w:t>FICHE PROJET</w:t>
      </w:r>
    </w:p>
    <w:p w:rsidR="001A4E05" w:rsidRPr="001A4E05" w:rsidRDefault="001A4E05" w:rsidP="001A4E05">
      <w:pPr>
        <w:pStyle w:val="Titre"/>
        <w:pBdr>
          <w:bottom w:val="single" w:sz="8" w:space="18" w:color="4F81BD" w:themeColor="accent1"/>
        </w:pBdr>
        <w:rPr>
          <w:iCs/>
          <w:color w:val="808080" w:themeColor="text1" w:themeTint="7F"/>
          <w:sz w:val="36"/>
          <w:szCs w:val="36"/>
        </w:rPr>
      </w:pPr>
      <w:r w:rsidRPr="001A4E05">
        <w:rPr>
          <w:rStyle w:val="Emphaseple"/>
          <w:i w:val="0"/>
          <w:sz w:val="36"/>
          <w:szCs w:val="36"/>
        </w:rPr>
        <w:t>« Des perspectives résidentielles pour des ménages dont le bail ne glisse pas : un cadre partagé et un accompagnement renforcé »</w:t>
      </w:r>
    </w:p>
    <w:p w:rsidR="00413925" w:rsidRPr="00413925" w:rsidRDefault="00580FC6" w:rsidP="00580FC6">
      <w:pPr>
        <w:pStyle w:val="Titre2"/>
        <w:rPr>
          <w:rFonts w:eastAsia="Calibri"/>
        </w:rPr>
      </w:pPr>
      <w:r>
        <w:rPr>
          <w:rFonts w:eastAsia="Calibri"/>
        </w:rPr>
        <w:t>Le constat de départ</w:t>
      </w:r>
    </w:p>
    <w:p w:rsidR="00845311" w:rsidRDefault="00845311" w:rsidP="00845311">
      <w:pPr>
        <w:pStyle w:val="Default"/>
        <w:jc w:val="both"/>
        <w:rPr>
          <w:sz w:val="22"/>
          <w:szCs w:val="22"/>
        </w:rPr>
      </w:pPr>
      <w:r>
        <w:rPr>
          <w:sz w:val="22"/>
          <w:szCs w:val="22"/>
        </w:rPr>
        <w:t>Le bail glissant est utilisé par différents opérateurs comme une solution de transition menant vers le logement autonome de droit commun.</w:t>
      </w:r>
    </w:p>
    <w:p w:rsidR="00845311" w:rsidRDefault="00845311" w:rsidP="00845311">
      <w:pPr>
        <w:pStyle w:val="Default"/>
        <w:jc w:val="both"/>
        <w:rPr>
          <w:sz w:val="22"/>
          <w:szCs w:val="22"/>
        </w:rPr>
      </w:pPr>
      <w:r>
        <w:rPr>
          <w:sz w:val="22"/>
          <w:szCs w:val="22"/>
        </w:rPr>
        <w:t xml:space="preserve"> </w:t>
      </w:r>
    </w:p>
    <w:p w:rsidR="00845311" w:rsidRDefault="00845311" w:rsidP="00845311">
      <w:pPr>
        <w:pStyle w:val="Default"/>
        <w:jc w:val="both"/>
        <w:rPr>
          <w:sz w:val="22"/>
          <w:szCs w:val="22"/>
        </w:rPr>
      </w:pPr>
      <w:r>
        <w:rPr>
          <w:sz w:val="22"/>
          <w:szCs w:val="22"/>
        </w:rPr>
        <w:t xml:space="preserve">Généralement les baux sont portés par un opérateur (le plus souvent une association financée par le Conseil général ou l’Etat) qui se charge d’accompagner les ménages dans le logement jusqu’au glissement de celui-ci et le retrait des acteurs engagés dans le projet. </w:t>
      </w:r>
    </w:p>
    <w:p w:rsidR="00845311" w:rsidRPr="00845311" w:rsidRDefault="00845311" w:rsidP="00845311">
      <w:pPr>
        <w:pStyle w:val="Default"/>
        <w:jc w:val="both"/>
        <w:rPr>
          <w:sz w:val="16"/>
          <w:szCs w:val="16"/>
        </w:rPr>
      </w:pPr>
    </w:p>
    <w:p w:rsidR="00845311" w:rsidRDefault="00845311" w:rsidP="00845311">
      <w:pPr>
        <w:pStyle w:val="Default"/>
        <w:jc w:val="both"/>
        <w:rPr>
          <w:sz w:val="22"/>
          <w:szCs w:val="22"/>
        </w:rPr>
      </w:pPr>
      <w:r>
        <w:rPr>
          <w:sz w:val="22"/>
          <w:szCs w:val="22"/>
        </w:rPr>
        <w:t>Dans un certain nombre de cas, le bail glisse au bout d’une période définie en amont, après accord des trois parties concernées : le ménage, le bailleur et l’opérateur.</w:t>
      </w:r>
    </w:p>
    <w:p w:rsidR="00845311" w:rsidRPr="00845311" w:rsidRDefault="00845311" w:rsidP="00845311">
      <w:pPr>
        <w:pStyle w:val="Default"/>
        <w:jc w:val="both"/>
        <w:rPr>
          <w:sz w:val="16"/>
          <w:szCs w:val="16"/>
        </w:rPr>
      </w:pPr>
      <w:r>
        <w:rPr>
          <w:sz w:val="22"/>
          <w:szCs w:val="22"/>
        </w:rPr>
        <w:t xml:space="preserve"> </w:t>
      </w:r>
    </w:p>
    <w:p w:rsidR="00580FC6" w:rsidRPr="00580FC6" w:rsidRDefault="00845311" w:rsidP="00845311">
      <w:pPr>
        <w:pStyle w:val="Default"/>
        <w:jc w:val="both"/>
        <w:rPr>
          <w:sz w:val="22"/>
          <w:szCs w:val="22"/>
        </w:rPr>
      </w:pPr>
      <w:r>
        <w:rPr>
          <w:sz w:val="22"/>
          <w:szCs w:val="22"/>
        </w:rPr>
        <w:t>Cependant, un nombre important de baux ne parviennent pas à glisser au terme de la période d’accompagnement lié au logement.</w:t>
      </w:r>
    </w:p>
    <w:p w:rsidR="00E27411" w:rsidRDefault="00E27411" w:rsidP="00E27411">
      <w:pPr>
        <w:pStyle w:val="Sansinterligne"/>
      </w:pPr>
    </w:p>
    <w:p w:rsidR="00E27411" w:rsidRDefault="00580FC6" w:rsidP="00E27411">
      <w:pPr>
        <w:pStyle w:val="Titre2"/>
      </w:pPr>
      <w:r w:rsidRPr="00413925">
        <w:t>Les principaux objectifs</w:t>
      </w:r>
    </w:p>
    <w:p w:rsidR="00845311" w:rsidRPr="00E27411" w:rsidRDefault="00845311" w:rsidP="00E27411">
      <w:pPr>
        <w:pStyle w:val="Sansinterligne"/>
        <w:rPr>
          <w:sz w:val="16"/>
          <w:szCs w:val="16"/>
        </w:rPr>
      </w:pPr>
    </w:p>
    <w:p w:rsidR="00E27411" w:rsidRDefault="00845311" w:rsidP="00845311">
      <w:pPr>
        <w:pStyle w:val="Default"/>
        <w:jc w:val="both"/>
        <w:rPr>
          <w:sz w:val="22"/>
          <w:szCs w:val="22"/>
        </w:rPr>
      </w:pPr>
      <w:r w:rsidRPr="00845311">
        <w:rPr>
          <w:b/>
          <w:sz w:val="22"/>
          <w:szCs w:val="22"/>
        </w:rPr>
        <w:t>C’est pourquoi, face à ces problématiques le projet est basé sur</w:t>
      </w:r>
      <w:r>
        <w:rPr>
          <w:sz w:val="22"/>
          <w:szCs w:val="22"/>
        </w:rPr>
        <w:t xml:space="preserve"> : </w:t>
      </w:r>
    </w:p>
    <w:p w:rsidR="00845311" w:rsidRDefault="00845311" w:rsidP="00845311">
      <w:pPr>
        <w:pStyle w:val="Default"/>
        <w:spacing w:after="18"/>
        <w:jc w:val="both"/>
        <w:rPr>
          <w:sz w:val="22"/>
          <w:szCs w:val="22"/>
        </w:rPr>
      </w:pPr>
      <w:r>
        <w:rPr>
          <w:sz w:val="22"/>
          <w:szCs w:val="22"/>
        </w:rPr>
        <w:t xml:space="preserve">- La relation privilégiée de coopération entre bailleurs et opérateurs au service de la compréhension des enjeux de la situation bloquée pour une amélioration et un déblocage de celle-ci, </w:t>
      </w:r>
    </w:p>
    <w:p w:rsidR="00845311" w:rsidRDefault="00845311" w:rsidP="00845311">
      <w:pPr>
        <w:pStyle w:val="Default"/>
        <w:spacing w:after="18"/>
        <w:jc w:val="both"/>
        <w:rPr>
          <w:sz w:val="22"/>
          <w:szCs w:val="22"/>
        </w:rPr>
      </w:pPr>
      <w:r>
        <w:rPr>
          <w:sz w:val="22"/>
          <w:szCs w:val="22"/>
        </w:rPr>
        <w:t xml:space="preserve">- Un étayage fort au niveau de l’accompagnement social mis en place avec une remise à plat des objectifs et un nouveau paramétrage qui correspond mieux à la situation actuelle des ménages, </w:t>
      </w:r>
    </w:p>
    <w:p w:rsidR="00845311" w:rsidRDefault="00845311" w:rsidP="00845311">
      <w:pPr>
        <w:pStyle w:val="Default"/>
        <w:jc w:val="both"/>
        <w:rPr>
          <w:sz w:val="22"/>
          <w:szCs w:val="22"/>
        </w:rPr>
      </w:pPr>
      <w:r>
        <w:rPr>
          <w:sz w:val="22"/>
          <w:szCs w:val="22"/>
        </w:rPr>
        <w:t xml:space="preserve">- La volonté de mieux comprendre les impératifs de chacun des acteurs et de prolonger une réflexion de fond sur la définition du bail glissant et de ses finalités, ceci dans le but de faire évoluer cet outil dans l’intérêt des ménages, et des opérateurs. </w:t>
      </w:r>
    </w:p>
    <w:p w:rsidR="00845311" w:rsidRDefault="00845311" w:rsidP="00845311">
      <w:pPr>
        <w:pStyle w:val="Default"/>
        <w:jc w:val="both"/>
        <w:rPr>
          <w:sz w:val="22"/>
          <w:szCs w:val="22"/>
        </w:rPr>
      </w:pPr>
    </w:p>
    <w:p w:rsidR="00E27411" w:rsidRDefault="00845311" w:rsidP="00845311">
      <w:pPr>
        <w:pStyle w:val="Default"/>
        <w:jc w:val="both"/>
        <w:rPr>
          <w:rStyle w:val="Titre2Car"/>
        </w:rPr>
      </w:pPr>
      <w:r w:rsidRPr="00580FC6">
        <w:rPr>
          <w:rStyle w:val="Titre2Car"/>
        </w:rPr>
        <w:t>Les moyens mis en œuvre pour parvenir</w:t>
      </w:r>
      <w:r w:rsidR="00580FC6">
        <w:rPr>
          <w:rStyle w:val="Titre2Car"/>
        </w:rPr>
        <w:t xml:space="preserve"> aux objectifs </w:t>
      </w:r>
      <w:r w:rsidR="00580FC6" w:rsidRPr="00580FC6">
        <w:rPr>
          <w:rStyle w:val="Titre2Car"/>
        </w:rPr>
        <w:t xml:space="preserve">fixés </w:t>
      </w:r>
      <w:r w:rsidRPr="00580FC6">
        <w:rPr>
          <w:rStyle w:val="Titre2Car"/>
        </w:rPr>
        <w:t>:</w:t>
      </w:r>
    </w:p>
    <w:p w:rsidR="00580FC6" w:rsidRPr="00E27411" w:rsidRDefault="00845311" w:rsidP="00845311">
      <w:pPr>
        <w:pStyle w:val="Default"/>
        <w:jc w:val="both"/>
        <w:rPr>
          <w:sz w:val="16"/>
          <w:szCs w:val="16"/>
        </w:rPr>
      </w:pPr>
      <w:r>
        <w:rPr>
          <w:sz w:val="22"/>
          <w:szCs w:val="22"/>
        </w:rPr>
        <w:t xml:space="preserve"> </w:t>
      </w:r>
    </w:p>
    <w:p w:rsidR="00845311" w:rsidRDefault="00845311" w:rsidP="00845311">
      <w:pPr>
        <w:pStyle w:val="Default"/>
        <w:spacing w:after="17"/>
        <w:jc w:val="both"/>
        <w:rPr>
          <w:sz w:val="22"/>
          <w:szCs w:val="22"/>
        </w:rPr>
      </w:pPr>
      <w:r>
        <w:rPr>
          <w:sz w:val="22"/>
          <w:szCs w:val="22"/>
        </w:rPr>
        <w:t xml:space="preserve">- Mettre en avant un accompagnement social global, pluridisciplinaire et adapté aux ménages grâce au recrutement de travailleurs sociaux dédiés à ce projet, </w:t>
      </w:r>
    </w:p>
    <w:p w:rsidR="00845311" w:rsidRDefault="00845311" w:rsidP="00845311">
      <w:pPr>
        <w:pStyle w:val="Default"/>
        <w:spacing w:after="17"/>
        <w:jc w:val="both"/>
        <w:rPr>
          <w:sz w:val="22"/>
          <w:szCs w:val="22"/>
        </w:rPr>
      </w:pPr>
      <w:r>
        <w:rPr>
          <w:sz w:val="22"/>
          <w:szCs w:val="22"/>
        </w:rPr>
        <w:t xml:space="preserve">- Etablir un diagnostic approfondi des freins au glissement des baux et des pratiques de chacun des acteurs face à ces situations, dans le but d’agir de façon concertée sur les causes profondes de non glissement, </w:t>
      </w:r>
    </w:p>
    <w:p w:rsidR="00845311" w:rsidRDefault="00845311" w:rsidP="00845311">
      <w:pPr>
        <w:pStyle w:val="Default"/>
        <w:spacing w:after="17"/>
        <w:jc w:val="both"/>
        <w:rPr>
          <w:sz w:val="22"/>
          <w:szCs w:val="22"/>
        </w:rPr>
      </w:pPr>
      <w:r>
        <w:rPr>
          <w:sz w:val="22"/>
          <w:szCs w:val="22"/>
        </w:rPr>
        <w:t xml:space="preserve">- Créer des outils qui permettent de définir entre partenaires du projet un cadre partagé et reproductible de glissement du bail (ou de relogement plus adapté), </w:t>
      </w:r>
    </w:p>
    <w:p w:rsidR="00845311" w:rsidRDefault="00845311" w:rsidP="00845311">
      <w:pPr>
        <w:pStyle w:val="Default"/>
        <w:jc w:val="both"/>
        <w:rPr>
          <w:sz w:val="22"/>
          <w:szCs w:val="22"/>
        </w:rPr>
      </w:pPr>
      <w:r>
        <w:rPr>
          <w:sz w:val="22"/>
          <w:szCs w:val="22"/>
        </w:rPr>
        <w:t xml:space="preserve">- Rendre plus cohérentes les solutions proposées aux ménages, grâce à l’ingénierie de projet et de coordination d’acteurs (bailleur/opérateur) autour de ces objectifs communs via l’AFFIL. </w:t>
      </w:r>
    </w:p>
    <w:p w:rsidR="00845311" w:rsidRDefault="00845311" w:rsidP="006B4BC1">
      <w:pPr>
        <w:pStyle w:val="Sous-titre"/>
        <w:rPr>
          <w:i w:val="0"/>
        </w:rPr>
      </w:pPr>
    </w:p>
    <w:p w:rsidR="00E27411" w:rsidRDefault="00E27411" w:rsidP="00845311">
      <w:pPr>
        <w:pStyle w:val="Titre2"/>
      </w:pPr>
    </w:p>
    <w:p w:rsidR="006B4BC1" w:rsidRDefault="006B4BC1" w:rsidP="00845311">
      <w:pPr>
        <w:pStyle w:val="Titre2"/>
      </w:pPr>
      <w:r w:rsidRPr="00413925">
        <w:t>Le territoire couvert :</w:t>
      </w:r>
    </w:p>
    <w:p w:rsidR="00845311" w:rsidRPr="00845311" w:rsidRDefault="00845311" w:rsidP="00845311">
      <w:r>
        <w:t>L’offre de logements accompagnés se situe sur l’ensemble de l’Ile-De-France.</w:t>
      </w:r>
    </w:p>
    <w:p w:rsidR="00845311" w:rsidRPr="00845311" w:rsidRDefault="00845311" w:rsidP="00580FC6">
      <w:pPr>
        <w:ind w:left="-993"/>
      </w:pPr>
      <w:r w:rsidRPr="00845311">
        <w:rPr>
          <w:noProof/>
          <w:lang w:eastAsia="fr-FR"/>
        </w:rPr>
        <w:drawing>
          <wp:inline distT="0" distB="0" distL="0" distR="0" wp14:anchorId="0114BA93" wp14:editId="134658DF">
            <wp:extent cx="6998563" cy="2047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8378" cy="2047821"/>
                    </a:xfrm>
                    <a:prstGeom prst="rect">
                      <a:avLst/>
                    </a:prstGeom>
                    <a:noFill/>
                    <a:ln>
                      <a:noFill/>
                    </a:ln>
                  </pic:spPr>
                </pic:pic>
              </a:graphicData>
            </a:graphic>
          </wp:inline>
        </w:drawing>
      </w:r>
    </w:p>
    <w:p w:rsidR="00D127D7" w:rsidRPr="00E27411" w:rsidRDefault="006B4BC1" w:rsidP="00E27411">
      <w:pPr>
        <w:pStyle w:val="Titre2"/>
        <w:rPr>
          <w:rStyle w:val="Titre3Car"/>
          <w:b/>
          <w:bCs/>
          <w:color w:val="0070C0"/>
          <w:sz w:val="24"/>
          <w:szCs w:val="24"/>
        </w:rPr>
      </w:pPr>
      <w:r w:rsidRPr="00E27411">
        <w:t>Les acteurs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2262"/>
        <w:gridCol w:w="2262"/>
        <w:gridCol w:w="2678"/>
      </w:tblGrid>
      <w:tr w:rsidR="00D127D7" w:rsidTr="00D127D7">
        <w:trPr>
          <w:trHeight w:val="222"/>
        </w:trPr>
        <w:tc>
          <w:tcPr>
            <w:tcW w:w="2262" w:type="dxa"/>
          </w:tcPr>
          <w:p w:rsidR="00D127D7" w:rsidRDefault="00D127D7">
            <w:pPr>
              <w:pStyle w:val="Default"/>
              <w:rPr>
                <w:sz w:val="22"/>
                <w:szCs w:val="22"/>
              </w:rPr>
            </w:pPr>
            <w:r>
              <w:rPr>
                <w:b/>
                <w:bCs/>
                <w:sz w:val="22"/>
                <w:szCs w:val="22"/>
              </w:rPr>
              <w:t xml:space="preserve">Prescripteurs </w:t>
            </w:r>
          </w:p>
        </w:tc>
        <w:tc>
          <w:tcPr>
            <w:tcW w:w="2262" w:type="dxa"/>
          </w:tcPr>
          <w:p w:rsidR="00D127D7" w:rsidRDefault="00D127D7">
            <w:pPr>
              <w:pStyle w:val="Default"/>
              <w:rPr>
                <w:sz w:val="20"/>
                <w:szCs w:val="20"/>
              </w:rPr>
            </w:pPr>
            <w:r>
              <w:rPr>
                <w:b/>
                <w:bCs/>
                <w:sz w:val="20"/>
                <w:szCs w:val="20"/>
              </w:rPr>
              <w:t xml:space="preserve">Coordination du partenariat et de l’action </w:t>
            </w:r>
          </w:p>
        </w:tc>
        <w:tc>
          <w:tcPr>
            <w:tcW w:w="2262" w:type="dxa"/>
          </w:tcPr>
          <w:p w:rsidR="00D127D7" w:rsidRDefault="00D127D7">
            <w:pPr>
              <w:pStyle w:val="Default"/>
              <w:rPr>
                <w:sz w:val="22"/>
                <w:szCs w:val="22"/>
              </w:rPr>
            </w:pPr>
            <w:r>
              <w:rPr>
                <w:b/>
                <w:bCs/>
                <w:sz w:val="22"/>
                <w:szCs w:val="22"/>
              </w:rPr>
              <w:t xml:space="preserve">Opérateurs </w:t>
            </w:r>
          </w:p>
        </w:tc>
        <w:tc>
          <w:tcPr>
            <w:tcW w:w="2678" w:type="dxa"/>
          </w:tcPr>
          <w:p w:rsidR="00D127D7" w:rsidRDefault="00D127D7">
            <w:pPr>
              <w:pStyle w:val="Default"/>
              <w:rPr>
                <w:sz w:val="22"/>
                <w:szCs w:val="22"/>
              </w:rPr>
            </w:pPr>
            <w:r>
              <w:rPr>
                <w:b/>
                <w:bCs/>
                <w:sz w:val="22"/>
                <w:szCs w:val="22"/>
              </w:rPr>
              <w:t xml:space="preserve">Partenaires </w:t>
            </w:r>
          </w:p>
        </w:tc>
      </w:tr>
      <w:tr w:rsidR="00D127D7" w:rsidTr="00D127D7">
        <w:trPr>
          <w:trHeight w:val="1075"/>
        </w:trPr>
        <w:tc>
          <w:tcPr>
            <w:tcW w:w="2262" w:type="dxa"/>
          </w:tcPr>
          <w:p w:rsidR="00D127D7" w:rsidRDefault="00D127D7">
            <w:pPr>
              <w:pStyle w:val="Default"/>
              <w:rPr>
                <w:sz w:val="20"/>
                <w:szCs w:val="20"/>
              </w:rPr>
            </w:pPr>
            <w:r>
              <w:rPr>
                <w:sz w:val="20"/>
                <w:szCs w:val="20"/>
              </w:rPr>
              <w:t xml:space="preserve">Coopération et Famille </w:t>
            </w:r>
          </w:p>
          <w:p w:rsidR="00D127D7" w:rsidRDefault="00D127D7">
            <w:pPr>
              <w:pStyle w:val="Default"/>
              <w:rPr>
                <w:sz w:val="20"/>
                <w:szCs w:val="20"/>
              </w:rPr>
            </w:pPr>
            <w:r>
              <w:rPr>
                <w:sz w:val="20"/>
                <w:szCs w:val="20"/>
              </w:rPr>
              <w:t xml:space="preserve">Efidis </w:t>
            </w:r>
          </w:p>
          <w:p w:rsidR="00D127D7" w:rsidRDefault="00D127D7">
            <w:pPr>
              <w:pStyle w:val="Default"/>
              <w:rPr>
                <w:sz w:val="20"/>
                <w:szCs w:val="20"/>
              </w:rPr>
            </w:pPr>
            <w:r>
              <w:rPr>
                <w:sz w:val="20"/>
                <w:szCs w:val="20"/>
              </w:rPr>
              <w:t xml:space="preserve">France Habitation </w:t>
            </w:r>
          </w:p>
          <w:p w:rsidR="00D127D7" w:rsidRDefault="00D127D7">
            <w:pPr>
              <w:pStyle w:val="Default"/>
              <w:rPr>
                <w:sz w:val="20"/>
                <w:szCs w:val="20"/>
              </w:rPr>
            </w:pPr>
            <w:r>
              <w:rPr>
                <w:sz w:val="20"/>
                <w:szCs w:val="20"/>
              </w:rPr>
              <w:t xml:space="preserve">Logement Francilien </w:t>
            </w:r>
          </w:p>
          <w:p w:rsidR="00D127D7" w:rsidRDefault="00D127D7">
            <w:pPr>
              <w:pStyle w:val="Default"/>
              <w:rPr>
                <w:sz w:val="20"/>
                <w:szCs w:val="20"/>
              </w:rPr>
            </w:pPr>
            <w:r>
              <w:rPr>
                <w:sz w:val="20"/>
                <w:szCs w:val="20"/>
              </w:rPr>
              <w:t xml:space="preserve">OSICA </w:t>
            </w:r>
          </w:p>
        </w:tc>
        <w:tc>
          <w:tcPr>
            <w:tcW w:w="2262" w:type="dxa"/>
          </w:tcPr>
          <w:p w:rsidR="00D127D7" w:rsidRDefault="00D127D7">
            <w:pPr>
              <w:pStyle w:val="Default"/>
              <w:rPr>
                <w:sz w:val="20"/>
                <w:szCs w:val="20"/>
              </w:rPr>
            </w:pPr>
            <w:r>
              <w:rPr>
                <w:i/>
                <w:iCs/>
                <w:sz w:val="20"/>
                <w:szCs w:val="20"/>
              </w:rPr>
              <w:t xml:space="preserve">Association Francilienne </w:t>
            </w:r>
          </w:p>
          <w:p w:rsidR="00D127D7" w:rsidRDefault="00D127D7">
            <w:pPr>
              <w:pStyle w:val="Default"/>
              <w:rPr>
                <w:sz w:val="20"/>
                <w:szCs w:val="20"/>
              </w:rPr>
            </w:pPr>
            <w:r>
              <w:rPr>
                <w:i/>
                <w:iCs/>
                <w:sz w:val="20"/>
                <w:szCs w:val="20"/>
              </w:rPr>
              <w:t xml:space="preserve">Pour Favoriser l’Insertion dans le Logement </w:t>
            </w:r>
          </w:p>
        </w:tc>
        <w:tc>
          <w:tcPr>
            <w:tcW w:w="2262" w:type="dxa"/>
          </w:tcPr>
          <w:p w:rsidR="00D127D7" w:rsidRDefault="00D127D7">
            <w:pPr>
              <w:pStyle w:val="Default"/>
              <w:rPr>
                <w:sz w:val="20"/>
                <w:szCs w:val="20"/>
              </w:rPr>
            </w:pPr>
            <w:r>
              <w:rPr>
                <w:sz w:val="20"/>
                <w:szCs w:val="20"/>
              </w:rPr>
              <w:t xml:space="preserve">GIP HIS </w:t>
            </w:r>
          </w:p>
          <w:p w:rsidR="00D127D7" w:rsidRDefault="00D127D7">
            <w:pPr>
              <w:pStyle w:val="Default"/>
              <w:rPr>
                <w:sz w:val="20"/>
                <w:szCs w:val="20"/>
              </w:rPr>
            </w:pPr>
            <w:r>
              <w:rPr>
                <w:sz w:val="20"/>
                <w:szCs w:val="20"/>
              </w:rPr>
              <w:t xml:space="preserve">Initiatives 77 </w:t>
            </w:r>
          </w:p>
          <w:p w:rsidR="00D127D7" w:rsidRDefault="00D127D7">
            <w:pPr>
              <w:pStyle w:val="Default"/>
              <w:rPr>
                <w:sz w:val="20"/>
                <w:szCs w:val="20"/>
              </w:rPr>
            </w:pPr>
            <w:r>
              <w:rPr>
                <w:sz w:val="20"/>
                <w:szCs w:val="20"/>
              </w:rPr>
              <w:t xml:space="preserve">Lien </w:t>
            </w:r>
            <w:proofErr w:type="spellStart"/>
            <w:r>
              <w:rPr>
                <w:sz w:val="20"/>
                <w:szCs w:val="20"/>
              </w:rPr>
              <w:t>Yvelinois</w:t>
            </w:r>
            <w:proofErr w:type="spellEnd"/>
            <w:r>
              <w:rPr>
                <w:sz w:val="20"/>
                <w:szCs w:val="20"/>
              </w:rPr>
              <w:t xml:space="preserve"> </w:t>
            </w:r>
          </w:p>
        </w:tc>
        <w:tc>
          <w:tcPr>
            <w:tcW w:w="2678" w:type="dxa"/>
          </w:tcPr>
          <w:p w:rsidR="00D127D7" w:rsidRDefault="00D127D7">
            <w:pPr>
              <w:pStyle w:val="Default"/>
              <w:rPr>
                <w:sz w:val="20"/>
                <w:szCs w:val="20"/>
              </w:rPr>
            </w:pPr>
            <w:r>
              <w:rPr>
                <w:sz w:val="20"/>
                <w:szCs w:val="20"/>
              </w:rPr>
              <w:t xml:space="preserve">Etat, </w:t>
            </w:r>
          </w:p>
          <w:p w:rsidR="00D127D7" w:rsidRDefault="00D127D7">
            <w:pPr>
              <w:pStyle w:val="Default"/>
              <w:rPr>
                <w:sz w:val="20"/>
                <w:szCs w:val="20"/>
              </w:rPr>
            </w:pPr>
            <w:r>
              <w:rPr>
                <w:sz w:val="20"/>
                <w:szCs w:val="20"/>
              </w:rPr>
              <w:t xml:space="preserve">Conseils Généraux d’Ile-De-France, </w:t>
            </w:r>
          </w:p>
          <w:p w:rsidR="00D127D7" w:rsidRDefault="00D127D7">
            <w:pPr>
              <w:pStyle w:val="Default"/>
              <w:rPr>
                <w:sz w:val="20"/>
                <w:szCs w:val="20"/>
              </w:rPr>
            </w:pPr>
            <w:r>
              <w:rPr>
                <w:sz w:val="20"/>
                <w:szCs w:val="20"/>
              </w:rPr>
              <w:t xml:space="preserve">Institutions et associations en charge d’accompagnements spécifiques santé, emploi…) </w:t>
            </w:r>
          </w:p>
        </w:tc>
      </w:tr>
    </w:tbl>
    <w:p w:rsidR="001A4E05" w:rsidRPr="00E27411" w:rsidRDefault="006B4BC1" w:rsidP="00E27411">
      <w:pPr>
        <w:pStyle w:val="Titre2"/>
      </w:pPr>
      <w:r w:rsidRPr="00E27411">
        <w:t>Le 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845"/>
        <w:gridCol w:w="3207"/>
      </w:tblGrid>
      <w:tr w:rsidR="00580FC6" w:rsidTr="00580FC6">
        <w:trPr>
          <w:trHeight w:val="344"/>
        </w:trPr>
        <w:tc>
          <w:tcPr>
            <w:tcW w:w="2845" w:type="dxa"/>
          </w:tcPr>
          <w:p w:rsidR="00580FC6" w:rsidRDefault="00580FC6">
            <w:pPr>
              <w:pStyle w:val="Default"/>
              <w:rPr>
                <w:sz w:val="20"/>
                <w:szCs w:val="20"/>
              </w:rPr>
            </w:pPr>
            <w:r>
              <w:rPr>
                <w:b/>
                <w:bCs/>
                <w:sz w:val="20"/>
                <w:szCs w:val="20"/>
              </w:rPr>
              <w:t xml:space="preserve">Co-financeurs au titre de l’accompagnement social dans le logement </w:t>
            </w:r>
          </w:p>
        </w:tc>
        <w:tc>
          <w:tcPr>
            <w:tcW w:w="2845" w:type="dxa"/>
          </w:tcPr>
          <w:p w:rsidR="00580FC6" w:rsidRDefault="00580FC6">
            <w:pPr>
              <w:pStyle w:val="Default"/>
              <w:rPr>
                <w:sz w:val="20"/>
                <w:szCs w:val="20"/>
              </w:rPr>
            </w:pPr>
            <w:r>
              <w:rPr>
                <w:b/>
                <w:bCs/>
                <w:sz w:val="20"/>
                <w:szCs w:val="20"/>
              </w:rPr>
              <w:t xml:space="preserve">Co-financeurs au titre de la Gestion Locative Adaptée </w:t>
            </w:r>
          </w:p>
        </w:tc>
        <w:tc>
          <w:tcPr>
            <w:tcW w:w="3207" w:type="dxa"/>
          </w:tcPr>
          <w:p w:rsidR="00580FC6" w:rsidRDefault="00580FC6">
            <w:pPr>
              <w:pStyle w:val="Default"/>
              <w:rPr>
                <w:sz w:val="20"/>
                <w:szCs w:val="20"/>
              </w:rPr>
            </w:pPr>
            <w:r>
              <w:rPr>
                <w:b/>
                <w:bCs/>
                <w:sz w:val="20"/>
                <w:szCs w:val="20"/>
              </w:rPr>
              <w:t xml:space="preserve">Co-financeurs au titre du suivi des mesures </w:t>
            </w:r>
          </w:p>
        </w:tc>
      </w:tr>
      <w:tr w:rsidR="00580FC6" w:rsidTr="00580FC6">
        <w:trPr>
          <w:trHeight w:val="646"/>
        </w:trPr>
        <w:tc>
          <w:tcPr>
            <w:tcW w:w="2845" w:type="dxa"/>
          </w:tcPr>
          <w:p w:rsidR="00580FC6" w:rsidRDefault="00580FC6">
            <w:pPr>
              <w:pStyle w:val="Default"/>
              <w:rPr>
                <w:sz w:val="22"/>
                <w:szCs w:val="22"/>
              </w:rPr>
            </w:pPr>
            <w:r>
              <w:rPr>
                <w:i/>
                <w:iCs/>
                <w:sz w:val="22"/>
                <w:szCs w:val="22"/>
              </w:rPr>
              <w:t xml:space="preserve">Etat, </w:t>
            </w:r>
          </w:p>
          <w:p w:rsidR="00580FC6" w:rsidRDefault="00580FC6">
            <w:pPr>
              <w:pStyle w:val="Default"/>
              <w:rPr>
                <w:sz w:val="22"/>
                <w:szCs w:val="22"/>
              </w:rPr>
            </w:pPr>
            <w:r>
              <w:rPr>
                <w:i/>
                <w:iCs/>
                <w:sz w:val="22"/>
                <w:szCs w:val="22"/>
              </w:rPr>
              <w:t xml:space="preserve">Conseil Général 78 </w:t>
            </w:r>
          </w:p>
        </w:tc>
        <w:tc>
          <w:tcPr>
            <w:tcW w:w="2845" w:type="dxa"/>
          </w:tcPr>
          <w:p w:rsidR="00580FC6" w:rsidRDefault="00580FC6">
            <w:pPr>
              <w:pStyle w:val="Default"/>
              <w:rPr>
                <w:sz w:val="22"/>
                <w:szCs w:val="22"/>
              </w:rPr>
            </w:pPr>
            <w:r>
              <w:rPr>
                <w:i/>
                <w:iCs/>
                <w:sz w:val="22"/>
                <w:szCs w:val="22"/>
              </w:rPr>
              <w:t xml:space="preserve">Conseil Général 77 </w:t>
            </w:r>
          </w:p>
        </w:tc>
        <w:tc>
          <w:tcPr>
            <w:tcW w:w="3207" w:type="dxa"/>
          </w:tcPr>
          <w:p w:rsidR="00580FC6" w:rsidRDefault="00580FC6">
            <w:pPr>
              <w:pStyle w:val="Default"/>
              <w:rPr>
                <w:sz w:val="22"/>
                <w:szCs w:val="22"/>
              </w:rPr>
            </w:pPr>
            <w:r>
              <w:rPr>
                <w:sz w:val="22"/>
                <w:szCs w:val="22"/>
              </w:rPr>
              <w:t xml:space="preserve">Coopération et Famille </w:t>
            </w:r>
          </w:p>
          <w:p w:rsidR="00580FC6" w:rsidRDefault="00580FC6">
            <w:pPr>
              <w:pStyle w:val="Default"/>
              <w:rPr>
                <w:sz w:val="22"/>
                <w:szCs w:val="22"/>
              </w:rPr>
            </w:pPr>
            <w:r>
              <w:rPr>
                <w:sz w:val="22"/>
                <w:szCs w:val="22"/>
              </w:rPr>
              <w:t xml:space="preserve">Efidis </w:t>
            </w:r>
          </w:p>
          <w:p w:rsidR="00580FC6" w:rsidRDefault="00580FC6">
            <w:pPr>
              <w:pStyle w:val="Default"/>
              <w:rPr>
                <w:sz w:val="22"/>
                <w:szCs w:val="22"/>
              </w:rPr>
            </w:pPr>
            <w:r>
              <w:rPr>
                <w:sz w:val="22"/>
                <w:szCs w:val="22"/>
              </w:rPr>
              <w:t xml:space="preserve">France Habitation </w:t>
            </w:r>
          </w:p>
          <w:p w:rsidR="00580FC6" w:rsidRDefault="00580FC6">
            <w:pPr>
              <w:pStyle w:val="Default"/>
              <w:rPr>
                <w:sz w:val="22"/>
                <w:szCs w:val="22"/>
              </w:rPr>
            </w:pPr>
            <w:r>
              <w:rPr>
                <w:sz w:val="22"/>
                <w:szCs w:val="22"/>
              </w:rPr>
              <w:t xml:space="preserve">Logement Francilien </w:t>
            </w:r>
          </w:p>
          <w:p w:rsidR="00580FC6" w:rsidRDefault="00580FC6">
            <w:pPr>
              <w:pStyle w:val="Default"/>
              <w:rPr>
                <w:sz w:val="22"/>
                <w:szCs w:val="22"/>
              </w:rPr>
            </w:pPr>
            <w:r>
              <w:rPr>
                <w:sz w:val="22"/>
                <w:szCs w:val="22"/>
              </w:rPr>
              <w:t xml:space="preserve">OSICA </w:t>
            </w:r>
          </w:p>
        </w:tc>
      </w:tr>
    </w:tbl>
    <w:p w:rsidR="00D127D7" w:rsidRPr="00D127D7" w:rsidRDefault="001A4E05" w:rsidP="001A4E05">
      <w:pPr>
        <w:pStyle w:val="Titre2"/>
        <w:rPr>
          <w:rFonts w:eastAsia="Times New Roman"/>
          <w:lang w:eastAsia="zh-CN"/>
        </w:rPr>
      </w:pPr>
      <w:r w:rsidRPr="001A4E05">
        <w:rPr>
          <w:rFonts w:eastAsia="Times New Roman"/>
          <w:lang w:eastAsia="zh-CN"/>
        </w:rPr>
        <w:t>Budget synthétique de l’action</w:t>
      </w:r>
    </w:p>
    <w:p w:rsidR="006B4BC1" w:rsidRPr="0023285E" w:rsidRDefault="00D127D7" w:rsidP="006B4BC1">
      <w:pPr>
        <w:pStyle w:val="Sansinterligne"/>
        <w:rPr>
          <w:sz w:val="28"/>
          <w:szCs w:val="28"/>
        </w:rPr>
      </w:pPr>
      <w:r>
        <w:rPr>
          <w:rFonts w:ascii="Times New Roman" w:eastAsia="Times New Roman" w:hAnsi="Times New Roman" w:cs="Times New Roman"/>
          <w:noProof/>
          <w:sz w:val="24"/>
          <w:szCs w:val="24"/>
          <w:lang w:eastAsia="fr-FR"/>
        </w:rPr>
        <w:drawing>
          <wp:inline distT="0" distB="0" distL="0" distR="0" wp14:anchorId="026076CA" wp14:editId="49B9E745">
            <wp:extent cx="6286500" cy="2066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2066925"/>
                    </a:xfrm>
                    <a:prstGeom prst="rect">
                      <a:avLst/>
                    </a:prstGeom>
                    <a:noFill/>
                    <a:ln>
                      <a:noFill/>
                    </a:ln>
                  </pic:spPr>
                </pic:pic>
              </a:graphicData>
            </a:graphic>
          </wp:inline>
        </w:drawing>
      </w:r>
      <w:r w:rsidR="00413925" w:rsidRPr="00E27411">
        <w:rPr>
          <w:rStyle w:val="Titre2Car"/>
        </w:rPr>
        <w:t>Date de mise en œuvre</w:t>
      </w:r>
      <w:r w:rsidR="001A4E05" w:rsidRPr="00E27411">
        <w:rPr>
          <w:rStyle w:val="Titre2Car"/>
        </w:rPr>
        <w:t> :</w:t>
      </w:r>
      <w:r w:rsidR="001A4E05">
        <w:t xml:space="preserve"> </w:t>
      </w:r>
      <w:r w:rsidR="001A4E05">
        <w:rPr>
          <w:b/>
        </w:rPr>
        <w:t>p</w:t>
      </w:r>
      <w:r w:rsidR="00580FC6" w:rsidRPr="001A4E05">
        <w:rPr>
          <w:b/>
        </w:rPr>
        <w:t>remier trimestre 2015</w:t>
      </w:r>
    </w:p>
    <w:sectPr w:rsidR="006B4BC1" w:rsidRPr="0023285E" w:rsidSect="00E27411">
      <w:head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EC" w:rsidRDefault="002B57EC" w:rsidP="00D127D7">
      <w:pPr>
        <w:spacing w:after="0" w:line="240" w:lineRule="auto"/>
      </w:pPr>
      <w:r>
        <w:separator/>
      </w:r>
    </w:p>
  </w:endnote>
  <w:endnote w:type="continuationSeparator" w:id="0">
    <w:p w:rsidR="002B57EC" w:rsidRDefault="002B57EC" w:rsidP="00D1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EC" w:rsidRDefault="002B57EC" w:rsidP="00D127D7">
      <w:pPr>
        <w:spacing w:after="0" w:line="240" w:lineRule="auto"/>
      </w:pPr>
      <w:r>
        <w:separator/>
      </w:r>
    </w:p>
  </w:footnote>
  <w:footnote w:type="continuationSeparator" w:id="0">
    <w:p w:rsidR="002B57EC" w:rsidRDefault="002B57EC" w:rsidP="00D1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5E" w:rsidRDefault="007F7603">
    <w:pPr>
      <w:pStyle w:val="En-tte"/>
    </w:pPr>
    <w:r>
      <w:t>11</w:t>
    </w:r>
    <w:r w:rsidR="00622D57">
      <w:t xml:space="preserve"> décembre</w:t>
    </w:r>
    <w:r w:rsidR="0023285E">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6499"/>
    <w:multiLevelType w:val="hybridMultilevel"/>
    <w:tmpl w:val="C944DC78"/>
    <w:lvl w:ilvl="0" w:tplc="02885C8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857789"/>
    <w:multiLevelType w:val="hybridMultilevel"/>
    <w:tmpl w:val="5ACE1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C1"/>
    <w:rsid w:val="00182216"/>
    <w:rsid w:val="001A4E05"/>
    <w:rsid w:val="00200621"/>
    <w:rsid w:val="0023285E"/>
    <w:rsid w:val="002B57EC"/>
    <w:rsid w:val="002E179D"/>
    <w:rsid w:val="00413925"/>
    <w:rsid w:val="004E0D91"/>
    <w:rsid w:val="00535058"/>
    <w:rsid w:val="00580FC6"/>
    <w:rsid w:val="00622D57"/>
    <w:rsid w:val="006B4BC1"/>
    <w:rsid w:val="00715465"/>
    <w:rsid w:val="007F7603"/>
    <w:rsid w:val="0081743E"/>
    <w:rsid w:val="00845311"/>
    <w:rsid w:val="00916ABA"/>
    <w:rsid w:val="00A66D54"/>
    <w:rsid w:val="00AE6882"/>
    <w:rsid w:val="00B36049"/>
    <w:rsid w:val="00CA5A6E"/>
    <w:rsid w:val="00D127D7"/>
    <w:rsid w:val="00E27411"/>
    <w:rsid w:val="00E85EAF"/>
    <w:rsid w:val="00EC0089"/>
    <w:rsid w:val="00FC1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13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4BC1"/>
    <w:pPr>
      <w:spacing w:after="0" w:line="240" w:lineRule="auto"/>
    </w:pPr>
  </w:style>
  <w:style w:type="paragraph" w:styleId="Titre">
    <w:name w:val="Title"/>
    <w:basedOn w:val="Normal"/>
    <w:next w:val="Normal"/>
    <w:link w:val="TitreCar"/>
    <w:uiPriority w:val="10"/>
    <w:qFormat/>
    <w:rsid w:val="006B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B4BC1"/>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6B4BC1"/>
    <w:rPr>
      <w:i/>
      <w:iCs/>
      <w:color w:val="808080" w:themeColor="text1" w:themeTint="7F"/>
    </w:rPr>
  </w:style>
  <w:style w:type="paragraph" w:styleId="Sous-titre">
    <w:name w:val="Subtitle"/>
    <w:basedOn w:val="Normal"/>
    <w:next w:val="Normal"/>
    <w:link w:val="Sous-titreCar"/>
    <w:uiPriority w:val="11"/>
    <w:qFormat/>
    <w:rsid w:val="006B4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B4BC1"/>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1392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13925"/>
    <w:pPr>
      <w:ind w:left="720"/>
      <w:contextualSpacing/>
    </w:pPr>
  </w:style>
  <w:style w:type="character" w:customStyle="1" w:styleId="Titre3Car">
    <w:name w:val="Titre 3 Car"/>
    <w:basedOn w:val="Policepardfaut"/>
    <w:link w:val="Titre3"/>
    <w:uiPriority w:val="9"/>
    <w:rsid w:val="00200621"/>
    <w:rPr>
      <w:rFonts w:asciiTheme="majorHAnsi" w:eastAsiaTheme="majorEastAsia" w:hAnsiTheme="majorHAnsi" w:cstheme="majorBidi"/>
      <w:b/>
      <w:bCs/>
      <w:color w:val="4F81BD" w:themeColor="accent1"/>
    </w:rPr>
  </w:style>
  <w:style w:type="paragraph" w:customStyle="1" w:styleId="Default">
    <w:name w:val="Default"/>
    <w:rsid w:val="008453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45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11"/>
    <w:rPr>
      <w:rFonts w:ascii="Tahoma" w:hAnsi="Tahoma" w:cs="Tahoma"/>
      <w:sz w:val="16"/>
      <w:szCs w:val="16"/>
    </w:rPr>
  </w:style>
  <w:style w:type="paragraph" w:styleId="En-tte">
    <w:name w:val="header"/>
    <w:basedOn w:val="Normal"/>
    <w:link w:val="En-tteCar"/>
    <w:uiPriority w:val="99"/>
    <w:unhideWhenUsed/>
    <w:rsid w:val="00D127D7"/>
    <w:pPr>
      <w:tabs>
        <w:tab w:val="center" w:pos="4536"/>
        <w:tab w:val="right" w:pos="9072"/>
      </w:tabs>
      <w:spacing w:after="0" w:line="240" w:lineRule="auto"/>
    </w:pPr>
  </w:style>
  <w:style w:type="character" w:customStyle="1" w:styleId="En-tteCar">
    <w:name w:val="En-tête Car"/>
    <w:basedOn w:val="Policepardfaut"/>
    <w:link w:val="En-tte"/>
    <w:uiPriority w:val="99"/>
    <w:rsid w:val="00D127D7"/>
  </w:style>
  <w:style w:type="paragraph" w:styleId="Pieddepage">
    <w:name w:val="footer"/>
    <w:basedOn w:val="Normal"/>
    <w:link w:val="PieddepageCar"/>
    <w:uiPriority w:val="99"/>
    <w:unhideWhenUsed/>
    <w:rsid w:val="00D12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13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4BC1"/>
    <w:pPr>
      <w:spacing w:after="0" w:line="240" w:lineRule="auto"/>
    </w:pPr>
  </w:style>
  <w:style w:type="paragraph" w:styleId="Titre">
    <w:name w:val="Title"/>
    <w:basedOn w:val="Normal"/>
    <w:next w:val="Normal"/>
    <w:link w:val="TitreCar"/>
    <w:uiPriority w:val="10"/>
    <w:qFormat/>
    <w:rsid w:val="006B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B4BC1"/>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6B4BC1"/>
    <w:rPr>
      <w:i/>
      <w:iCs/>
      <w:color w:val="808080" w:themeColor="text1" w:themeTint="7F"/>
    </w:rPr>
  </w:style>
  <w:style w:type="paragraph" w:styleId="Sous-titre">
    <w:name w:val="Subtitle"/>
    <w:basedOn w:val="Normal"/>
    <w:next w:val="Normal"/>
    <w:link w:val="Sous-titreCar"/>
    <w:uiPriority w:val="11"/>
    <w:qFormat/>
    <w:rsid w:val="006B4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B4BC1"/>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1392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13925"/>
    <w:pPr>
      <w:ind w:left="720"/>
      <w:contextualSpacing/>
    </w:pPr>
  </w:style>
  <w:style w:type="character" w:customStyle="1" w:styleId="Titre3Car">
    <w:name w:val="Titre 3 Car"/>
    <w:basedOn w:val="Policepardfaut"/>
    <w:link w:val="Titre3"/>
    <w:uiPriority w:val="9"/>
    <w:rsid w:val="00200621"/>
    <w:rPr>
      <w:rFonts w:asciiTheme="majorHAnsi" w:eastAsiaTheme="majorEastAsia" w:hAnsiTheme="majorHAnsi" w:cstheme="majorBidi"/>
      <w:b/>
      <w:bCs/>
      <w:color w:val="4F81BD" w:themeColor="accent1"/>
    </w:rPr>
  </w:style>
  <w:style w:type="paragraph" w:customStyle="1" w:styleId="Default">
    <w:name w:val="Default"/>
    <w:rsid w:val="008453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45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11"/>
    <w:rPr>
      <w:rFonts w:ascii="Tahoma" w:hAnsi="Tahoma" w:cs="Tahoma"/>
      <w:sz w:val="16"/>
      <w:szCs w:val="16"/>
    </w:rPr>
  </w:style>
  <w:style w:type="paragraph" w:styleId="En-tte">
    <w:name w:val="header"/>
    <w:basedOn w:val="Normal"/>
    <w:link w:val="En-tteCar"/>
    <w:uiPriority w:val="99"/>
    <w:unhideWhenUsed/>
    <w:rsid w:val="00D127D7"/>
    <w:pPr>
      <w:tabs>
        <w:tab w:val="center" w:pos="4536"/>
        <w:tab w:val="right" w:pos="9072"/>
      </w:tabs>
      <w:spacing w:after="0" w:line="240" w:lineRule="auto"/>
    </w:pPr>
  </w:style>
  <w:style w:type="character" w:customStyle="1" w:styleId="En-tteCar">
    <w:name w:val="En-tête Car"/>
    <w:basedOn w:val="Policepardfaut"/>
    <w:link w:val="En-tte"/>
    <w:uiPriority w:val="99"/>
    <w:rsid w:val="00D127D7"/>
  </w:style>
  <w:style w:type="paragraph" w:styleId="Pieddepage">
    <w:name w:val="footer"/>
    <w:basedOn w:val="Normal"/>
    <w:link w:val="PieddepageCar"/>
    <w:uiPriority w:val="99"/>
    <w:unhideWhenUsed/>
    <w:rsid w:val="00D12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data.over-blog.com/2/91/09/96/AF-LOGOS-PANTONE-180309-copi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F717-F070-40DF-81C2-3C5B110F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utilisateur</cp:lastModifiedBy>
  <cp:revision>2</cp:revision>
  <dcterms:created xsi:type="dcterms:W3CDTF">2014-12-09T10:13:00Z</dcterms:created>
  <dcterms:modified xsi:type="dcterms:W3CDTF">2014-12-09T10:13:00Z</dcterms:modified>
</cp:coreProperties>
</file>