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411" w:rsidRDefault="006B4BC1" w:rsidP="006B4BC1">
      <w:bookmarkStart w:id="0" w:name="_GoBack"/>
      <w:bookmarkEnd w:id="0"/>
      <w:r>
        <w:rPr>
          <w:noProof/>
          <w:lang w:eastAsia="fr-FR"/>
        </w:rPr>
        <w:drawing>
          <wp:anchor distT="0" distB="0" distL="114300" distR="114300" simplePos="0" relativeHeight="251659264" behindDoc="0" locked="0" layoutInCell="1" allowOverlap="1" wp14:anchorId="100E8A09" wp14:editId="18D23C9C">
            <wp:simplePos x="0" y="0"/>
            <wp:positionH relativeFrom="column">
              <wp:posOffset>4311015</wp:posOffset>
            </wp:positionH>
            <wp:positionV relativeFrom="paragraph">
              <wp:posOffset>-487045</wp:posOffset>
            </wp:positionV>
            <wp:extent cx="2254250" cy="826135"/>
            <wp:effectExtent l="0" t="0" r="0" b="0"/>
            <wp:wrapSquare wrapText="bothSides"/>
            <wp:docPr id="1" name="Image 1" descr="http://idata.over-blog.com/2/91/09/96/AF-LOGOS-PANTONE-180309-c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ttp://idata.over-blog.com/2/91/09/96/AF-LOGOS-PANTONE-180309-copie.jpg"/>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2254250" cy="826135"/>
                    </a:xfrm>
                    <a:prstGeom prst="rect">
                      <a:avLst/>
                    </a:prstGeom>
                    <a:noFill/>
                    <a:ln>
                      <a:noFill/>
                    </a:ln>
                  </pic:spPr>
                </pic:pic>
              </a:graphicData>
            </a:graphic>
          </wp:anchor>
        </w:drawing>
      </w:r>
    </w:p>
    <w:p w:rsidR="001A4E05" w:rsidRDefault="006B4BC1" w:rsidP="001A4E05">
      <w:pPr>
        <w:pStyle w:val="Titre"/>
        <w:pBdr>
          <w:bottom w:val="single" w:sz="8" w:space="18" w:color="4F81BD" w:themeColor="accent1"/>
        </w:pBdr>
        <w:rPr>
          <w:rStyle w:val="Emphaseple"/>
          <w:i w:val="0"/>
          <w:sz w:val="36"/>
          <w:szCs w:val="36"/>
        </w:rPr>
      </w:pPr>
      <w:r w:rsidRPr="00413925">
        <w:rPr>
          <w:rStyle w:val="Emphaseple"/>
          <w:i w:val="0"/>
          <w:sz w:val="36"/>
          <w:szCs w:val="36"/>
        </w:rPr>
        <w:t>FICHE PROJET</w:t>
      </w:r>
    </w:p>
    <w:p w:rsidR="001A4E05" w:rsidRPr="001A4E05" w:rsidRDefault="003228E9" w:rsidP="001A4E05">
      <w:pPr>
        <w:pStyle w:val="Titre"/>
        <w:pBdr>
          <w:bottom w:val="single" w:sz="8" w:space="18" w:color="4F81BD" w:themeColor="accent1"/>
        </w:pBdr>
        <w:rPr>
          <w:iCs/>
          <w:color w:val="808080" w:themeColor="text1" w:themeTint="7F"/>
          <w:sz w:val="36"/>
          <w:szCs w:val="36"/>
        </w:rPr>
      </w:pPr>
      <w:r w:rsidRPr="003228E9">
        <w:rPr>
          <w:iCs/>
          <w:color w:val="808080" w:themeColor="text1" w:themeTint="7F"/>
          <w:sz w:val="36"/>
          <w:szCs w:val="36"/>
        </w:rPr>
        <w:t>«La plateforme santé mentale et logement »</w:t>
      </w:r>
    </w:p>
    <w:p w:rsidR="00413925" w:rsidRPr="00413925" w:rsidRDefault="00580FC6" w:rsidP="00580FC6">
      <w:pPr>
        <w:pStyle w:val="Titre2"/>
        <w:rPr>
          <w:rFonts w:eastAsia="Calibri"/>
        </w:rPr>
      </w:pPr>
      <w:r>
        <w:rPr>
          <w:rFonts w:eastAsia="Calibri"/>
        </w:rPr>
        <w:t>Le constat de départ</w:t>
      </w:r>
    </w:p>
    <w:p w:rsidR="003228E9" w:rsidRPr="003228E9" w:rsidRDefault="003228E9" w:rsidP="003228E9">
      <w:pPr>
        <w:pStyle w:val="Sansinterligne"/>
        <w:jc w:val="both"/>
        <w:rPr>
          <w:sz w:val="16"/>
          <w:szCs w:val="16"/>
        </w:rPr>
      </w:pPr>
    </w:p>
    <w:p w:rsidR="003228E9" w:rsidRDefault="003228E9" w:rsidP="003228E9">
      <w:pPr>
        <w:pStyle w:val="Sansinterligne"/>
        <w:jc w:val="both"/>
      </w:pPr>
      <w:r w:rsidRPr="003228E9">
        <w:t xml:space="preserve">Sur l’ensemble de l’Ile-de-France, et au travers des différents réseaux d’acteurs, le sujet de la santé mentale est omniprésent. On observe une montée en charge des problématiques de santé mentale chez les ménages qui occupent le parc social bien que les signalements au sein des équipes « bailleurs » et « associations d’insertion » ne correspondent pas toujours à des pathologies lourdes. </w:t>
      </w:r>
    </w:p>
    <w:p w:rsidR="003228E9" w:rsidRPr="003228E9" w:rsidRDefault="003228E9" w:rsidP="003228E9">
      <w:pPr>
        <w:pStyle w:val="Sansinterligne"/>
        <w:jc w:val="both"/>
        <w:rPr>
          <w:sz w:val="16"/>
          <w:szCs w:val="16"/>
        </w:rPr>
      </w:pPr>
    </w:p>
    <w:p w:rsidR="00E27411" w:rsidRDefault="003228E9" w:rsidP="003228E9">
      <w:pPr>
        <w:pStyle w:val="Sansinterligne"/>
        <w:jc w:val="both"/>
      </w:pPr>
      <w:r w:rsidRPr="003228E9">
        <w:t>Du fait de cette difficulté de détection, des difficultés de maintien dans le logement peuvent être provoquées par des troubles psychiques. Il existe peu de données stabilisées sur le nombre de personnes concernées.  Les cas identifiés couvrent un champ de situations très larges qui déstabilisent le fonctionnement habituel du bailleur, impactent la gestion locative et les autres locataires.</w:t>
      </w:r>
    </w:p>
    <w:p w:rsidR="003228E9" w:rsidRPr="003228E9" w:rsidRDefault="003228E9" w:rsidP="003228E9">
      <w:pPr>
        <w:pStyle w:val="Sansinterligne"/>
        <w:jc w:val="both"/>
        <w:rPr>
          <w:sz w:val="16"/>
          <w:szCs w:val="16"/>
        </w:rPr>
      </w:pPr>
    </w:p>
    <w:p w:rsidR="003228E9" w:rsidRDefault="003228E9" w:rsidP="003228E9">
      <w:pPr>
        <w:pStyle w:val="Sansinterligne"/>
        <w:jc w:val="both"/>
      </w:pPr>
      <w:r>
        <w:t>En réponse à cela, il existe une série d’initiatives partenariales (formation des gardiens, des gestionnaires, intervention d’équipes spécialisées dans le logement, etc.) portées par des associations, des bailleurs, des services hospitaliers de psychiatrie – sur des territoires en Ile-De-France.</w:t>
      </w:r>
    </w:p>
    <w:p w:rsidR="003228E9" w:rsidRPr="003228E9" w:rsidRDefault="003228E9" w:rsidP="003228E9">
      <w:pPr>
        <w:pStyle w:val="Sansinterligne"/>
        <w:jc w:val="both"/>
        <w:rPr>
          <w:sz w:val="16"/>
          <w:szCs w:val="16"/>
        </w:rPr>
      </w:pPr>
    </w:p>
    <w:p w:rsidR="003228E9" w:rsidRDefault="003228E9" w:rsidP="003228E9">
      <w:pPr>
        <w:pStyle w:val="Sansinterligne"/>
        <w:jc w:val="both"/>
      </w:pPr>
      <w:r>
        <w:t>Ces initiatives sont insuffisantes au regard des besoins, soit par méconnaissance réciproque des acteurs de ce secteur, soit par manque de service dédié à ces questions ou encore par manque de moyens mis au service de l’ingénierie.</w:t>
      </w:r>
    </w:p>
    <w:p w:rsidR="00E27411" w:rsidRDefault="00580FC6" w:rsidP="00E27411">
      <w:pPr>
        <w:pStyle w:val="Titre2"/>
      </w:pPr>
      <w:r w:rsidRPr="00413925">
        <w:t>Les principaux objectifs</w:t>
      </w:r>
    </w:p>
    <w:p w:rsidR="00845311" w:rsidRPr="00E27411" w:rsidRDefault="00845311" w:rsidP="00E27411">
      <w:pPr>
        <w:pStyle w:val="Sansinterligne"/>
        <w:rPr>
          <w:sz w:val="16"/>
          <w:szCs w:val="16"/>
        </w:rPr>
      </w:pPr>
    </w:p>
    <w:p w:rsidR="003228E9" w:rsidRPr="003228E9" w:rsidRDefault="003228E9" w:rsidP="003228E9">
      <w:pPr>
        <w:pStyle w:val="Default"/>
        <w:jc w:val="both"/>
        <w:rPr>
          <w:b/>
          <w:sz w:val="22"/>
          <w:szCs w:val="22"/>
        </w:rPr>
      </w:pPr>
      <w:r w:rsidRPr="003228E9">
        <w:rPr>
          <w:b/>
          <w:sz w:val="22"/>
          <w:szCs w:val="22"/>
        </w:rPr>
        <w:t>Dans ce cadre, notre projet a pour principaux objectifs :</w:t>
      </w:r>
    </w:p>
    <w:p w:rsidR="003228E9" w:rsidRPr="003228E9" w:rsidRDefault="003228E9" w:rsidP="003228E9">
      <w:pPr>
        <w:pStyle w:val="Default"/>
        <w:jc w:val="both"/>
        <w:rPr>
          <w:sz w:val="22"/>
          <w:szCs w:val="22"/>
        </w:rPr>
      </w:pPr>
      <w:r>
        <w:rPr>
          <w:sz w:val="22"/>
          <w:szCs w:val="22"/>
        </w:rPr>
        <w:t>- d</w:t>
      </w:r>
      <w:r w:rsidRPr="003228E9">
        <w:rPr>
          <w:sz w:val="22"/>
          <w:szCs w:val="22"/>
        </w:rPr>
        <w:t>e permettre le maintien des personnes dans leur logement grâce à la mise en place de soins (si besoin),</w:t>
      </w:r>
    </w:p>
    <w:p w:rsidR="00845311" w:rsidRDefault="003228E9" w:rsidP="003228E9">
      <w:pPr>
        <w:pStyle w:val="Default"/>
        <w:jc w:val="both"/>
        <w:rPr>
          <w:sz w:val="22"/>
          <w:szCs w:val="22"/>
        </w:rPr>
      </w:pPr>
      <w:r>
        <w:rPr>
          <w:sz w:val="22"/>
          <w:szCs w:val="22"/>
        </w:rPr>
        <w:t xml:space="preserve">- </w:t>
      </w:r>
      <w:r w:rsidRPr="003228E9">
        <w:rPr>
          <w:sz w:val="22"/>
          <w:szCs w:val="22"/>
        </w:rPr>
        <w:t>d’étoffer et renforcer la relation entre les bailleurs, les associations et le milieu médico-social et du soin,</w:t>
      </w:r>
    </w:p>
    <w:p w:rsidR="003228E9" w:rsidRPr="003228E9" w:rsidRDefault="003228E9" w:rsidP="003228E9">
      <w:pPr>
        <w:pStyle w:val="Default"/>
        <w:jc w:val="both"/>
        <w:rPr>
          <w:sz w:val="16"/>
          <w:szCs w:val="16"/>
        </w:rPr>
      </w:pPr>
    </w:p>
    <w:p w:rsidR="00580FC6" w:rsidRDefault="00845311" w:rsidP="00845311">
      <w:pPr>
        <w:pStyle w:val="Default"/>
        <w:jc w:val="both"/>
        <w:rPr>
          <w:rStyle w:val="Titre2Car"/>
        </w:rPr>
      </w:pPr>
      <w:r w:rsidRPr="00580FC6">
        <w:rPr>
          <w:rStyle w:val="Titre2Car"/>
        </w:rPr>
        <w:t xml:space="preserve">Les moyens </w:t>
      </w:r>
    </w:p>
    <w:p w:rsidR="0042539A" w:rsidRPr="00E27411" w:rsidRDefault="0042539A" w:rsidP="00845311">
      <w:pPr>
        <w:pStyle w:val="Default"/>
        <w:jc w:val="both"/>
        <w:rPr>
          <w:sz w:val="16"/>
          <w:szCs w:val="16"/>
        </w:rPr>
      </w:pPr>
    </w:p>
    <w:p w:rsidR="003228E9" w:rsidRPr="003228E9" w:rsidRDefault="003228E9" w:rsidP="003228E9">
      <w:pPr>
        <w:suppressAutoHyphens/>
        <w:spacing w:after="0" w:line="240" w:lineRule="auto"/>
        <w:jc w:val="both"/>
        <w:rPr>
          <w:rFonts w:ascii="Calibri" w:eastAsia="Calibri" w:hAnsi="Calibri" w:cs="Times New Roman"/>
          <w:b/>
        </w:rPr>
      </w:pPr>
      <w:r w:rsidRPr="003228E9">
        <w:rPr>
          <w:rFonts w:ascii="Calibri" w:eastAsia="Calibri" w:hAnsi="Calibri" w:cs="Times New Roman"/>
          <w:b/>
        </w:rPr>
        <w:t>Les moyens mis en œuvre pour y parvenir sont :</w:t>
      </w:r>
    </w:p>
    <w:p w:rsidR="00161DA4" w:rsidRDefault="003228E9" w:rsidP="003228E9">
      <w:pPr>
        <w:numPr>
          <w:ilvl w:val="0"/>
          <w:numId w:val="3"/>
        </w:numPr>
        <w:suppressAutoHyphens/>
        <w:spacing w:after="0" w:line="240" w:lineRule="auto"/>
        <w:jc w:val="both"/>
        <w:rPr>
          <w:rFonts w:ascii="Calibri" w:eastAsia="Calibri" w:hAnsi="Calibri" w:cs="Times New Roman"/>
        </w:rPr>
      </w:pPr>
      <w:r w:rsidRPr="00161DA4">
        <w:rPr>
          <w:rFonts w:ascii="Calibri" w:eastAsia="Calibri" w:hAnsi="Calibri" w:cs="Times New Roman"/>
        </w:rPr>
        <w:t>La création de deux postes de « référents santé mentale logement », recrutés et portés par le CEAPSY (Centre d’écoute et d’accueil sur les troubles psychiques</w:t>
      </w:r>
      <w:r w:rsidR="00161DA4">
        <w:rPr>
          <w:rFonts w:ascii="Calibri" w:eastAsia="Calibri" w:hAnsi="Calibri" w:cs="Times New Roman"/>
        </w:rPr>
        <w:t>,</w:t>
      </w:r>
    </w:p>
    <w:p w:rsidR="003228E9" w:rsidRPr="00161DA4" w:rsidRDefault="003228E9" w:rsidP="003228E9">
      <w:pPr>
        <w:numPr>
          <w:ilvl w:val="0"/>
          <w:numId w:val="3"/>
        </w:numPr>
        <w:suppressAutoHyphens/>
        <w:spacing w:after="0" w:line="240" w:lineRule="auto"/>
        <w:jc w:val="both"/>
        <w:rPr>
          <w:rFonts w:ascii="Calibri" w:eastAsia="Calibri" w:hAnsi="Calibri" w:cs="Times New Roman"/>
        </w:rPr>
      </w:pPr>
      <w:r w:rsidRPr="00161DA4">
        <w:rPr>
          <w:rFonts w:ascii="Calibri" w:eastAsia="Calibri" w:hAnsi="Calibri" w:cs="Times New Roman"/>
        </w:rPr>
        <w:t xml:space="preserve"> La mise en place d’un appui, au cas par cas, auprès de « binômes bailleurs-locataires », afin de renforcer directement les partenariats et trouver au plus vite des solutions permettant un maintien de la personne dans le logement (accompagnement, soin, entraide…) ou des solutions alternatives de loge</w:t>
      </w:r>
      <w:r w:rsidR="00161DA4">
        <w:rPr>
          <w:rFonts w:ascii="Calibri" w:eastAsia="Calibri" w:hAnsi="Calibri" w:cs="Times New Roman"/>
        </w:rPr>
        <w:t>ment adapté,</w:t>
      </w:r>
    </w:p>
    <w:p w:rsidR="003228E9" w:rsidRDefault="003228E9" w:rsidP="003228E9">
      <w:pPr>
        <w:numPr>
          <w:ilvl w:val="0"/>
          <w:numId w:val="3"/>
        </w:numPr>
        <w:suppressAutoHyphens/>
        <w:spacing w:after="0" w:line="240" w:lineRule="auto"/>
        <w:jc w:val="both"/>
        <w:rPr>
          <w:rFonts w:ascii="Calibri" w:eastAsia="Calibri" w:hAnsi="Calibri" w:cs="Times New Roman"/>
        </w:rPr>
      </w:pPr>
      <w:r w:rsidRPr="003228E9">
        <w:rPr>
          <w:rFonts w:ascii="Calibri" w:eastAsia="Calibri" w:hAnsi="Calibri" w:cs="Times New Roman"/>
        </w:rPr>
        <w:t xml:space="preserve"> La réalisation d’actions de sensibilisation auprès des opérateurs de terrain, pour permettre d’améliorer la relation entre bailleurs, associations et le milieu médico-social et du soin et ainsi, renforcer les partenariats et la recherche de solutions conjointes avec le</w:t>
      </w:r>
      <w:r>
        <w:rPr>
          <w:rFonts w:ascii="Calibri" w:eastAsia="Calibri" w:hAnsi="Calibri" w:cs="Times New Roman"/>
        </w:rPr>
        <w:t>s différents acteurs compétents.</w:t>
      </w:r>
    </w:p>
    <w:p w:rsidR="003228E9" w:rsidRDefault="003228E9" w:rsidP="003228E9">
      <w:pPr>
        <w:suppressAutoHyphens/>
        <w:spacing w:after="0" w:line="240" w:lineRule="auto"/>
        <w:jc w:val="both"/>
        <w:rPr>
          <w:rFonts w:ascii="Calibri" w:eastAsia="Calibri" w:hAnsi="Calibri" w:cs="Times New Roman"/>
        </w:rPr>
      </w:pPr>
    </w:p>
    <w:p w:rsidR="003228E9" w:rsidRDefault="003228E9" w:rsidP="003228E9">
      <w:pPr>
        <w:suppressAutoHyphens/>
        <w:spacing w:after="0" w:line="240" w:lineRule="auto"/>
        <w:jc w:val="both"/>
        <w:rPr>
          <w:rFonts w:ascii="Calibri" w:eastAsia="Calibri" w:hAnsi="Calibri" w:cs="Times New Roman"/>
        </w:rPr>
      </w:pPr>
    </w:p>
    <w:p w:rsidR="003228E9" w:rsidRPr="003228E9" w:rsidRDefault="003228E9" w:rsidP="003228E9">
      <w:pPr>
        <w:suppressAutoHyphens/>
        <w:spacing w:after="0" w:line="240" w:lineRule="auto"/>
        <w:jc w:val="both"/>
        <w:rPr>
          <w:rFonts w:ascii="Calibri" w:eastAsia="Calibri" w:hAnsi="Calibri" w:cs="Times New Roman"/>
        </w:rPr>
      </w:pPr>
    </w:p>
    <w:p w:rsidR="00845311" w:rsidRPr="003228E9" w:rsidRDefault="003228E9" w:rsidP="00B241C6">
      <w:pPr>
        <w:pStyle w:val="Sansinterligne"/>
        <w:jc w:val="both"/>
        <w:rPr>
          <w:i/>
        </w:rPr>
      </w:pPr>
      <w:r w:rsidRPr="003228E9">
        <w:lastRenderedPageBreak/>
        <w:t>La coordination des actions avec les différents acteurs autour de la santé mentale grâce au travail des référents, pour formaliser des partenariats structurels et opérationnels  avec les villes (CLSM, cellule d’alerte, etc.) ainsi qu’à différentes échelles territoriales pour favoriser le décloisonnement entre le secteur du logement et ceux du médico-social et du soin.</w:t>
      </w:r>
    </w:p>
    <w:p w:rsidR="006B4BC1" w:rsidRDefault="006B4BC1" w:rsidP="00845311">
      <w:pPr>
        <w:pStyle w:val="Titre2"/>
      </w:pPr>
      <w:r w:rsidRPr="00413925">
        <w:t>Le territoire couvert :</w:t>
      </w:r>
    </w:p>
    <w:p w:rsidR="00845311" w:rsidRPr="00845311" w:rsidRDefault="00250017" w:rsidP="00B241C6">
      <w:pPr>
        <w:pStyle w:val="Sansinterligne"/>
        <w:jc w:val="both"/>
      </w:pPr>
      <w:r w:rsidRPr="00250017">
        <w:rPr>
          <w:lang w:eastAsia="zh-CN"/>
        </w:rPr>
        <w:t>La localisat</w:t>
      </w:r>
      <w:r w:rsidR="00B241C6">
        <w:rPr>
          <w:lang w:eastAsia="zh-CN"/>
        </w:rPr>
        <w:t>ion des logements sera</w:t>
      </w:r>
      <w:r w:rsidRPr="00250017">
        <w:rPr>
          <w:lang w:eastAsia="zh-CN"/>
        </w:rPr>
        <w:t xml:space="preserve"> fonction des situations et des sollicitations des acteurs du projet. Il ne sera pas question d’attribution de logements puisque les personnes accompagnées seront déjà dans le logement.</w:t>
      </w:r>
    </w:p>
    <w:p w:rsidR="00D127D7" w:rsidRDefault="006B4BC1" w:rsidP="00E27411">
      <w:pPr>
        <w:pStyle w:val="Titre2"/>
      </w:pPr>
      <w:r w:rsidRPr="00E27411">
        <w:t>Les acteurs</w:t>
      </w:r>
    </w:p>
    <w:tbl>
      <w:tblPr>
        <w:tblpPr w:leftFromText="141" w:rightFromText="141" w:vertAnchor="text" w:horzAnchor="margin" w:tblpX="-176" w:tblpY="25"/>
        <w:tblW w:w="9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59"/>
        <w:gridCol w:w="3375"/>
        <w:gridCol w:w="1466"/>
        <w:gridCol w:w="2494"/>
      </w:tblGrid>
      <w:tr w:rsidR="003228E9" w:rsidRPr="003228E9" w:rsidTr="003228E9">
        <w:trPr>
          <w:trHeight w:val="497"/>
        </w:trPr>
        <w:tc>
          <w:tcPr>
            <w:tcW w:w="2459" w:type="dxa"/>
            <w:shd w:val="clear" w:color="auto" w:fill="auto"/>
          </w:tcPr>
          <w:p w:rsidR="003228E9" w:rsidRPr="003228E9" w:rsidRDefault="003228E9" w:rsidP="003228E9">
            <w:pPr>
              <w:suppressAutoHyphens/>
              <w:spacing w:after="0" w:line="240" w:lineRule="auto"/>
              <w:rPr>
                <w:rFonts w:ascii="Calibri" w:eastAsia="Calibri" w:hAnsi="Calibri" w:cs="Times New Roman"/>
                <w:b/>
                <w:iCs/>
                <w:sz w:val="20"/>
                <w:szCs w:val="20"/>
                <w:lang w:eastAsia="zh-CN"/>
              </w:rPr>
            </w:pPr>
            <w:r w:rsidRPr="003228E9">
              <w:rPr>
                <w:rFonts w:ascii="Calibri" w:eastAsia="Calibri" w:hAnsi="Calibri" w:cs="Times New Roman"/>
                <w:b/>
                <w:iCs/>
                <w:lang w:eastAsia="zh-CN"/>
              </w:rPr>
              <w:t>Prescripteurs</w:t>
            </w:r>
            <w:r w:rsidRPr="003228E9">
              <w:rPr>
                <w:rFonts w:ascii="Calibri" w:eastAsia="Calibri" w:hAnsi="Calibri" w:cs="Times New Roman"/>
                <w:b/>
                <w:iCs/>
                <w:sz w:val="20"/>
                <w:szCs w:val="20"/>
                <w:lang w:eastAsia="zh-CN"/>
              </w:rPr>
              <w:t xml:space="preserve"> </w:t>
            </w:r>
          </w:p>
        </w:tc>
        <w:tc>
          <w:tcPr>
            <w:tcW w:w="3375" w:type="dxa"/>
            <w:shd w:val="clear" w:color="auto" w:fill="auto"/>
          </w:tcPr>
          <w:p w:rsidR="003228E9" w:rsidRPr="003228E9" w:rsidRDefault="003228E9" w:rsidP="003228E9">
            <w:pPr>
              <w:suppressAutoHyphens/>
              <w:spacing w:after="0" w:line="240" w:lineRule="auto"/>
              <w:jc w:val="both"/>
              <w:rPr>
                <w:rFonts w:ascii="Calibri" w:eastAsia="Calibri" w:hAnsi="Calibri" w:cs="Times New Roman"/>
                <w:b/>
                <w:iCs/>
                <w:lang w:eastAsia="zh-CN"/>
              </w:rPr>
            </w:pPr>
            <w:r w:rsidRPr="003228E9">
              <w:rPr>
                <w:rFonts w:ascii="Calibri" w:eastAsia="Calibri" w:hAnsi="Calibri" w:cs="Times New Roman"/>
                <w:b/>
                <w:iCs/>
                <w:sz w:val="20"/>
                <w:szCs w:val="20"/>
                <w:lang w:eastAsia="zh-CN"/>
              </w:rPr>
              <w:t>Coordination du partenariat et de l’action</w:t>
            </w:r>
          </w:p>
        </w:tc>
        <w:tc>
          <w:tcPr>
            <w:tcW w:w="1466" w:type="dxa"/>
            <w:shd w:val="clear" w:color="auto" w:fill="auto"/>
          </w:tcPr>
          <w:p w:rsidR="003228E9" w:rsidRPr="003228E9" w:rsidRDefault="003228E9" w:rsidP="003228E9">
            <w:pPr>
              <w:suppressAutoHyphens/>
              <w:spacing w:after="0" w:line="240" w:lineRule="auto"/>
              <w:jc w:val="both"/>
              <w:rPr>
                <w:rFonts w:ascii="Calibri" w:eastAsia="Calibri" w:hAnsi="Calibri" w:cs="Times New Roman"/>
                <w:b/>
                <w:iCs/>
                <w:lang w:eastAsia="zh-CN"/>
              </w:rPr>
            </w:pPr>
            <w:r w:rsidRPr="003228E9">
              <w:rPr>
                <w:rFonts w:ascii="Calibri" w:eastAsia="Calibri" w:hAnsi="Calibri" w:cs="Times New Roman"/>
                <w:b/>
                <w:iCs/>
                <w:lang w:eastAsia="zh-CN"/>
              </w:rPr>
              <w:t>Opérateur</w:t>
            </w:r>
          </w:p>
        </w:tc>
        <w:tc>
          <w:tcPr>
            <w:tcW w:w="2494" w:type="dxa"/>
            <w:shd w:val="clear" w:color="auto" w:fill="auto"/>
          </w:tcPr>
          <w:p w:rsidR="003228E9" w:rsidRPr="003228E9" w:rsidRDefault="003228E9" w:rsidP="003228E9">
            <w:pPr>
              <w:suppressAutoHyphens/>
              <w:spacing w:after="0" w:line="240" w:lineRule="auto"/>
              <w:jc w:val="both"/>
              <w:rPr>
                <w:rFonts w:ascii="Calibri" w:eastAsia="Calibri" w:hAnsi="Calibri" w:cs="Times New Roman"/>
                <w:b/>
                <w:iCs/>
                <w:lang w:eastAsia="zh-CN"/>
              </w:rPr>
            </w:pPr>
            <w:r w:rsidRPr="003228E9">
              <w:rPr>
                <w:rFonts w:ascii="Calibri" w:eastAsia="Calibri" w:hAnsi="Calibri" w:cs="Times New Roman"/>
                <w:b/>
                <w:iCs/>
                <w:lang w:eastAsia="zh-CN"/>
              </w:rPr>
              <w:t>Partenaires</w:t>
            </w:r>
          </w:p>
        </w:tc>
      </w:tr>
      <w:tr w:rsidR="003228E9" w:rsidRPr="003228E9" w:rsidTr="003228E9">
        <w:trPr>
          <w:trHeight w:val="2469"/>
        </w:trPr>
        <w:tc>
          <w:tcPr>
            <w:tcW w:w="2459" w:type="dxa"/>
            <w:shd w:val="clear" w:color="auto" w:fill="auto"/>
          </w:tcPr>
          <w:p w:rsidR="003228E9" w:rsidRPr="003228E9" w:rsidRDefault="003228E9" w:rsidP="003228E9">
            <w:pPr>
              <w:suppressAutoHyphens/>
              <w:spacing w:after="0" w:line="240" w:lineRule="auto"/>
              <w:rPr>
                <w:rFonts w:ascii="Calibri" w:eastAsia="Times New Roman" w:hAnsi="Calibri" w:cs="Times New Roman"/>
                <w:lang w:eastAsia="zh-CN"/>
              </w:rPr>
            </w:pPr>
            <w:r w:rsidRPr="003228E9">
              <w:rPr>
                <w:rFonts w:ascii="Calibri" w:eastAsia="Times New Roman" w:hAnsi="Calibri" w:cs="Times New Roman"/>
                <w:lang w:eastAsia="zh-CN"/>
              </w:rPr>
              <w:t>Aurore</w:t>
            </w:r>
          </w:p>
          <w:p w:rsidR="003228E9" w:rsidRPr="003228E9" w:rsidRDefault="003228E9" w:rsidP="003228E9">
            <w:pPr>
              <w:suppressAutoHyphens/>
              <w:spacing w:after="0" w:line="240" w:lineRule="auto"/>
              <w:rPr>
                <w:rFonts w:ascii="Calibri" w:eastAsia="Times New Roman" w:hAnsi="Calibri" w:cs="Times New Roman"/>
                <w:lang w:eastAsia="zh-CN"/>
              </w:rPr>
            </w:pPr>
            <w:r w:rsidRPr="003228E9">
              <w:rPr>
                <w:rFonts w:ascii="Calibri" w:eastAsia="Times New Roman" w:hAnsi="Calibri" w:cs="Times New Roman"/>
                <w:lang w:eastAsia="zh-CN"/>
              </w:rPr>
              <w:t>Coopération et famille</w:t>
            </w:r>
          </w:p>
          <w:p w:rsidR="003228E9" w:rsidRPr="003228E9" w:rsidRDefault="003228E9" w:rsidP="003228E9">
            <w:pPr>
              <w:suppressAutoHyphens/>
              <w:spacing w:after="0" w:line="240" w:lineRule="auto"/>
              <w:rPr>
                <w:rFonts w:ascii="Calibri" w:eastAsia="Times New Roman" w:hAnsi="Calibri" w:cs="Times New Roman"/>
                <w:lang w:eastAsia="zh-CN"/>
              </w:rPr>
            </w:pPr>
            <w:r w:rsidRPr="003228E9">
              <w:rPr>
                <w:rFonts w:ascii="Calibri" w:eastAsia="Times New Roman" w:hAnsi="Calibri" w:cs="Times New Roman"/>
                <w:lang w:eastAsia="zh-CN"/>
              </w:rPr>
              <w:t>Efidis</w:t>
            </w:r>
          </w:p>
          <w:p w:rsidR="003228E9" w:rsidRPr="003228E9" w:rsidRDefault="003228E9" w:rsidP="003228E9">
            <w:pPr>
              <w:suppressAutoHyphens/>
              <w:spacing w:after="0" w:line="240" w:lineRule="auto"/>
              <w:rPr>
                <w:rFonts w:ascii="Calibri" w:eastAsia="Times New Roman" w:hAnsi="Calibri" w:cs="Times New Roman"/>
                <w:lang w:eastAsia="zh-CN"/>
              </w:rPr>
            </w:pPr>
            <w:r w:rsidRPr="003228E9">
              <w:rPr>
                <w:rFonts w:ascii="Calibri" w:eastAsia="Times New Roman" w:hAnsi="Calibri" w:cs="Times New Roman"/>
                <w:lang w:eastAsia="zh-CN"/>
              </w:rPr>
              <w:t>Emmaüs Solidarité</w:t>
            </w:r>
          </w:p>
          <w:p w:rsidR="003228E9" w:rsidRPr="003228E9" w:rsidRDefault="003228E9" w:rsidP="003228E9">
            <w:pPr>
              <w:suppressAutoHyphens/>
              <w:spacing w:after="0" w:line="240" w:lineRule="auto"/>
              <w:rPr>
                <w:rFonts w:ascii="Calibri" w:eastAsia="Times New Roman" w:hAnsi="Calibri" w:cs="Times New Roman"/>
                <w:lang w:eastAsia="zh-CN"/>
              </w:rPr>
            </w:pPr>
            <w:r w:rsidRPr="003228E9">
              <w:rPr>
                <w:rFonts w:ascii="Calibri" w:eastAsia="Times New Roman" w:hAnsi="Calibri" w:cs="Times New Roman"/>
                <w:lang w:eastAsia="zh-CN"/>
              </w:rPr>
              <w:t>Logement français</w:t>
            </w:r>
          </w:p>
          <w:p w:rsidR="003228E9" w:rsidRPr="003228E9" w:rsidRDefault="003228E9" w:rsidP="003228E9">
            <w:pPr>
              <w:suppressAutoHyphens/>
              <w:spacing w:after="0" w:line="240" w:lineRule="auto"/>
              <w:rPr>
                <w:rFonts w:ascii="Calibri" w:eastAsia="Times New Roman" w:hAnsi="Calibri" w:cs="Times New Roman"/>
                <w:lang w:eastAsia="zh-CN"/>
              </w:rPr>
            </w:pPr>
            <w:r w:rsidRPr="003228E9">
              <w:rPr>
                <w:rFonts w:ascii="Calibri" w:eastAsia="Times New Roman" w:hAnsi="Calibri" w:cs="Times New Roman"/>
                <w:lang w:eastAsia="zh-CN"/>
              </w:rPr>
              <w:t>Œuvre Falret</w:t>
            </w:r>
          </w:p>
          <w:p w:rsidR="003228E9" w:rsidRPr="003228E9" w:rsidRDefault="003228E9" w:rsidP="003228E9">
            <w:pPr>
              <w:suppressAutoHyphens/>
              <w:spacing w:after="0" w:line="240" w:lineRule="auto"/>
              <w:rPr>
                <w:rFonts w:ascii="Calibri" w:eastAsia="Times New Roman" w:hAnsi="Calibri" w:cs="Times New Roman"/>
                <w:lang w:eastAsia="zh-CN"/>
              </w:rPr>
            </w:pPr>
            <w:proofErr w:type="spellStart"/>
            <w:r w:rsidRPr="003228E9">
              <w:rPr>
                <w:rFonts w:ascii="Calibri" w:eastAsia="Times New Roman" w:hAnsi="Calibri" w:cs="Times New Roman"/>
                <w:lang w:eastAsia="zh-CN"/>
              </w:rPr>
              <w:t>Opievoy</w:t>
            </w:r>
            <w:proofErr w:type="spellEnd"/>
          </w:p>
          <w:p w:rsidR="003228E9" w:rsidRPr="003228E9" w:rsidRDefault="003228E9" w:rsidP="003228E9">
            <w:pPr>
              <w:suppressAutoHyphens/>
              <w:spacing w:after="0" w:line="240" w:lineRule="auto"/>
              <w:rPr>
                <w:rFonts w:ascii="Calibri" w:eastAsia="Times New Roman" w:hAnsi="Calibri" w:cs="Times New Roman"/>
                <w:lang w:eastAsia="zh-CN"/>
              </w:rPr>
            </w:pPr>
            <w:proofErr w:type="spellStart"/>
            <w:r w:rsidRPr="003228E9">
              <w:rPr>
                <w:rFonts w:ascii="Calibri" w:eastAsia="Times New Roman" w:hAnsi="Calibri" w:cs="Times New Roman"/>
                <w:lang w:eastAsia="zh-CN"/>
              </w:rPr>
              <w:t>Osica</w:t>
            </w:r>
            <w:proofErr w:type="spellEnd"/>
          </w:p>
          <w:p w:rsidR="003228E9" w:rsidRPr="003228E9" w:rsidRDefault="003228E9" w:rsidP="003228E9">
            <w:pPr>
              <w:suppressAutoHyphens/>
              <w:spacing w:after="0" w:line="240" w:lineRule="auto"/>
              <w:rPr>
                <w:rFonts w:ascii="Calibri" w:eastAsia="Calibri" w:hAnsi="Calibri" w:cs="Times New Roman"/>
                <w:i/>
                <w:iCs/>
                <w:lang w:eastAsia="zh-CN"/>
              </w:rPr>
            </w:pPr>
          </w:p>
        </w:tc>
        <w:tc>
          <w:tcPr>
            <w:tcW w:w="3375" w:type="dxa"/>
            <w:shd w:val="clear" w:color="auto" w:fill="auto"/>
          </w:tcPr>
          <w:p w:rsidR="003228E9" w:rsidRPr="003228E9" w:rsidRDefault="003228E9" w:rsidP="003228E9">
            <w:pPr>
              <w:suppressAutoHyphens/>
              <w:spacing w:after="0" w:line="240" w:lineRule="auto"/>
              <w:jc w:val="both"/>
              <w:rPr>
                <w:rFonts w:ascii="Calibri" w:eastAsia="Calibri" w:hAnsi="Calibri" w:cs="Times New Roman"/>
                <w:i/>
                <w:iCs/>
                <w:sz w:val="20"/>
                <w:szCs w:val="20"/>
                <w:lang w:eastAsia="zh-CN"/>
              </w:rPr>
            </w:pPr>
            <w:r w:rsidRPr="003228E9">
              <w:rPr>
                <w:rFonts w:ascii="Calibri" w:eastAsia="Calibri" w:hAnsi="Calibri" w:cs="Times New Roman"/>
                <w:i/>
                <w:iCs/>
                <w:sz w:val="20"/>
                <w:szCs w:val="20"/>
                <w:lang w:eastAsia="zh-CN"/>
              </w:rPr>
              <w:t>Association Francilienne</w:t>
            </w:r>
          </w:p>
          <w:p w:rsidR="003228E9" w:rsidRPr="003228E9" w:rsidRDefault="003228E9" w:rsidP="003228E9">
            <w:pPr>
              <w:suppressAutoHyphens/>
              <w:spacing w:after="0" w:line="240" w:lineRule="auto"/>
              <w:jc w:val="both"/>
              <w:rPr>
                <w:rFonts w:ascii="Calibri" w:eastAsia="Calibri" w:hAnsi="Calibri" w:cs="Times New Roman"/>
                <w:iCs/>
                <w:sz w:val="20"/>
                <w:szCs w:val="20"/>
                <w:lang w:eastAsia="zh-CN"/>
              </w:rPr>
            </w:pPr>
            <w:r w:rsidRPr="003228E9">
              <w:rPr>
                <w:rFonts w:ascii="Calibri" w:eastAsia="Calibri" w:hAnsi="Calibri" w:cs="Times New Roman"/>
                <w:i/>
                <w:iCs/>
                <w:sz w:val="20"/>
                <w:szCs w:val="20"/>
                <w:lang w:eastAsia="zh-CN"/>
              </w:rPr>
              <w:t>Pour Favoriser l’Insertion dans le Logement</w:t>
            </w:r>
          </w:p>
        </w:tc>
        <w:tc>
          <w:tcPr>
            <w:tcW w:w="1466" w:type="dxa"/>
            <w:shd w:val="clear" w:color="auto" w:fill="auto"/>
          </w:tcPr>
          <w:p w:rsidR="003228E9" w:rsidRPr="003228E9" w:rsidRDefault="003228E9" w:rsidP="003228E9">
            <w:pPr>
              <w:suppressAutoHyphens/>
              <w:spacing w:after="0" w:line="240" w:lineRule="auto"/>
              <w:jc w:val="both"/>
              <w:rPr>
                <w:rFonts w:ascii="Calibri" w:eastAsia="Calibri" w:hAnsi="Calibri" w:cs="Times New Roman"/>
                <w:iCs/>
                <w:sz w:val="20"/>
                <w:szCs w:val="20"/>
                <w:lang w:eastAsia="zh-CN"/>
              </w:rPr>
            </w:pPr>
            <w:r w:rsidRPr="003228E9">
              <w:rPr>
                <w:rFonts w:ascii="Calibri" w:eastAsia="Calibri" w:hAnsi="Calibri" w:cs="Times New Roman"/>
                <w:iCs/>
                <w:sz w:val="20"/>
                <w:szCs w:val="20"/>
                <w:lang w:eastAsia="zh-CN"/>
              </w:rPr>
              <w:t>CEAPSY</w:t>
            </w:r>
          </w:p>
        </w:tc>
        <w:tc>
          <w:tcPr>
            <w:tcW w:w="2494" w:type="dxa"/>
            <w:shd w:val="clear" w:color="auto" w:fill="auto"/>
          </w:tcPr>
          <w:p w:rsidR="003228E9" w:rsidRPr="003228E9" w:rsidRDefault="003228E9" w:rsidP="003228E9">
            <w:pPr>
              <w:suppressAutoHyphens/>
              <w:spacing w:after="0" w:line="240" w:lineRule="auto"/>
              <w:rPr>
                <w:rFonts w:ascii="Calibri" w:eastAsia="Calibri" w:hAnsi="Calibri" w:cs="Times New Roman"/>
                <w:iCs/>
                <w:sz w:val="20"/>
                <w:szCs w:val="20"/>
                <w:lang w:eastAsia="zh-CN"/>
              </w:rPr>
            </w:pPr>
            <w:r w:rsidRPr="003228E9">
              <w:rPr>
                <w:rFonts w:ascii="Calibri" w:eastAsia="Calibri" w:hAnsi="Calibri" w:cs="Times New Roman"/>
                <w:iCs/>
                <w:sz w:val="20"/>
                <w:szCs w:val="20"/>
                <w:lang w:eastAsia="zh-CN"/>
              </w:rPr>
              <w:t>Agence Régionale de Santé,</w:t>
            </w:r>
          </w:p>
          <w:p w:rsidR="003228E9" w:rsidRPr="003228E9" w:rsidRDefault="003228E9" w:rsidP="003228E9">
            <w:pPr>
              <w:suppressAutoHyphens/>
              <w:spacing w:after="0" w:line="240" w:lineRule="auto"/>
              <w:rPr>
                <w:rFonts w:ascii="Calibri" w:eastAsia="Calibri" w:hAnsi="Calibri" w:cs="Times New Roman"/>
                <w:iCs/>
                <w:sz w:val="20"/>
                <w:szCs w:val="20"/>
                <w:lang w:eastAsia="zh-CN"/>
              </w:rPr>
            </w:pPr>
            <w:r w:rsidRPr="003228E9">
              <w:rPr>
                <w:rFonts w:ascii="Calibri" w:eastAsia="Calibri" w:hAnsi="Calibri" w:cs="Times New Roman"/>
                <w:iCs/>
                <w:sz w:val="20"/>
                <w:szCs w:val="20"/>
                <w:lang w:eastAsia="zh-CN"/>
              </w:rPr>
              <w:t>Conseil Général,</w:t>
            </w:r>
          </w:p>
          <w:p w:rsidR="003228E9" w:rsidRPr="003228E9" w:rsidRDefault="003228E9" w:rsidP="003228E9">
            <w:pPr>
              <w:suppressAutoHyphens/>
              <w:spacing w:after="0" w:line="240" w:lineRule="auto"/>
              <w:rPr>
                <w:rFonts w:ascii="Calibri" w:eastAsia="Calibri" w:hAnsi="Calibri" w:cs="Times New Roman"/>
                <w:iCs/>
                <w:sz w:val="20"/>
                <w:szCs w:val="20"/>
                <w:lang w:eastAsia="zh-CN"/>
              </w:rPr>
            </w:pPr>
            <w:r w:rsidRPr="003228E9">
              <w:rPr>
                <w:rFonts w:ascii="Calibri" w:eastAsia="Calibri" w:hAnsi="Calibri" w:cs="Times New Roman"/>
                <w:iCs/>
                <w:sz w:val="20"/>
                <w:szCs w:val="20"/>
                <w:lang w:eastAsia="zh-CN"/>
              </w:rPr>
              <w:t xml:space="preserve">L’ensemble des partenaires du CEAPSY (Associations spécialisées dans l’accompagnement des personnes en situation de handicap psychique) </w:t>
            </w:r>
          </w:p>
          <w:p w:rsidR="003228E9" w:rsidRPr="003228E9" w:rsidRDefault="003228E9" w:rsidP="003228E9">
            <w:pPr>
              <w:suppressAutoHyphens/>
              <w:spacing w:after="0" w:line="240" w:lineRule="auto"/>
              <w:jc w:val="both"/>
              <w:rPr>
                <w:rFonts w:ascii="Calibri" w:eastAsia="Calibri" w:hAnsi="Calibri" w:cs="Times New Roman"/>
                <w:iCs/>
                <w:sz w:val="20"/>
                <w:szCs w:val="20"/>
                <w:lang w:eastAsia="zh-CN"/>
              </w:rPr>
            </w:pPr>
          </w:p>
        </w:tc>
      </w:tr>
    </w:tbl>
    <w:p w:rsidR="001A4E05" w:rsidRPr="00E27411" w:rsidRDefault="006B4BC1" w:rsidP="00E27411">
      <w:pPr>
        <w:pStyle w:val="Titre2"/>
      </w:pPr>
      <w:r w:rsidRPr="00E27411">
        <w:t>Le financement</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5"/>
        <w:gridCol w:w="2845"/>
        <w:gridCol w:w="4092"/>
      </w:tblGrid>
      <w:tr w:rsidR="00580FC6" w:rsidTr="0042539A">
        <w:trPr>
          <w:trHeight w:val="344"/>
        </w:trPr>
        <w:tc>
          <w:tcPr>
            <w:tcW w:w="2845" w:type="dxa"/>
          </w:tcPr>
          <w:p w:rsidR="00580FC6" w:rsidRDefault="00580FC6">
            <w:pPr>
              <w:pStyle w:val="Default"/>
              <w:rPr>
                <w:sz w:val="20"/>
                <w:szCs w:val="20"/>
              </w:rPr>
            </w:pPr>
            <w:r>
              <w:rPr>
                <w:b/>
                <w:bCs/>
                <w:sz w:val="20"/>
                <w:szCs w:val="20"/>
              </w:rPr>
              <w:t xml:space="preserve">Co-financeurs au titre de l’accompagnement social dans le logement </w:t>
            </w:r>
          </w:p>
        </w:tc>
        <w:tc>
          <w:tcPr>
            <w:tcW w:w="2845" w:type="dxa"/>
          </w:tcPr>
          <w:p w:rsidR="00580FC6" w:rsidRDefault="00580FC6">
            <w:pPr>
              <w:pStyle w:val="Default"/>
              <w:rPr>
                <w:sz w:val="20"/>
                <w:szCs w:val="20"/>
              </w:rPr>
            </w:pPr>
            <w:r>
              <w:rPr>
                <w:b/>
                <w:bCs/>
                <w:sz w:val="20"/>
                <w:szCs w:val="20"/>
              </w:rPr>
              <w:t xml:space="preserve">Co-financeurs au titre de la Gestion Locative Adaptée </w:t>
            </w:r>
          </w:p>
        </w:tc>
        <w:tc>
          <w:tcPr>
            <w:tcW w:w="4092" w:type="dxa"/>
          </w:tcPr>
          <w:p w:rsidR="00580FC6" w:rsidRDefault="00580FC6">
            <w:pPr>
              <w:pStyle w:val="Default"/>
              <w:rPr>
                <w:sz w:val="20"/>
                <w:szCs w:val="20"/>
              </w:rPr>
            </w:pPr>
            <w:r>
              <w:rPr>
                <w:b/>
                <w:bCs/>
                <w:sz w:val="20"/>
                <w:szCs w:val="20"/>
              </w:rPr>
              <w:t xml:space="preserve">Co-financeurs au titre du suivi des mesures </w:t>
            </w:r>
          </w:p>
        </w:tc>
      </w:tr>
      <w:tr w:rsidR="00580FC6" w:rsidTr="0042539A">
        <w:trPr>
          <w:trHeight w:val="646"/>
        </w:trPr>
        <w:tc>
          <w:tcPr>
            <w:tcW w:w="2845" w:type="dxa"/>
          </w:tcPr>
          <w:p w:rsidR="00580FC6" w:rsidRDefault="00580FC6">
            <w:pPr>
              <w:pStyle w:val="Default"/>
              <w:rPr>
                <w:sz w:val="22"/>
                <w:szCs w:val="22"/>
              </w:rPr>
            </w:pPr>
            <w:r>
              <w:rPr>
                <w:i/>
                <w:iCs/>
                <w:sz w:val="22"/>
                <w:szCs w:val="22"/>
              </w:rPr>
              <w:t xml:space="preserve">Etat, </w:t>
            </w:r>
          </w:p>
          <w:p w:rsidR="00580FC6" w:rsidRDefault="00580FC6">
            <w:pPr>
              <w:pStyle w:val="Default"/>
              <w:rPr>
                <w:sz w:val="22"/>
                <w:szCs w:val="22"/>
              </w:rPr>
            </w:pPr>
            <w:r>
              <w:rPr>
                <w:i/>
                <w:iCs/>
                <w:sz w:val="22"/>
                <w:szCs w:val="22"/>
              </w:rPr>
              <w:t xml:space="preserve">Conseil Général 78 </w:t>
            </w:r>
          </w:p>
        </w:tc>
        <w:tc>
          <w:tcPr>
            <w:tcW w:w="2845" w:type="dxa"/>
          </w:tcPr>
          <w:p w:rsidR="00580FC6" w:rsidRDefault="00580FC6">
            <w:pPr>
              <w:pStyle w:val="Default"/>
              <w:rPr>
                <w:sz w:val="22"/>
                <w:szCs w:val="22"/>
              </w:rPr>
            </w:pPr>
            <w:r>
              <w:rPr>
                <w:i/>
                <w:iCs/>
                <w:sz w:val="22"/>
                <w:szCs w:val="22"/>
              </w:rPr>
              <w:t xml:space="preserve">Conseil Général 77 </w:t>
            </w:r>
          </w:p>
        </w:tc>
        <w:tc>
          <w:tcPr>
            <w:tcW w:w="4092" w:type="dxa"/>
          </w:tcPr>
          <w:p w:rsidR="00580FC6" w:rsidRDefault="00580FC6">
            <w:pPr>
              <w:pStyle w:val="Default"/>
              <w:rPr>
                <w:sz w:val="22"/>
                <w:szCs w:val="22"/>
              </w:rPr>
            </w:pPr>
            <w:r>
              <w:rPr>
                <w:sz w:val="22"/>
                <w:szCs w:val="22"/>
              </w:rPr>
              <w:t xml:space="preserve">Coopération et Famille </w:t>
            </w:r>
          </w:p>
          <w:p w:rsidR="00580FC6" w:rsidRDefault="00580FC6">
            <w:pPr>
              <w:pStyle w:val="Default"/>
              <w:rPr>
                <w:sz w:val="22"/>
                <w:szCs w:val="22"/>
              </w:rPr>
            </w:pPr>
            <w:r>
              <w:rPr>
                <w:sz w:val="22"/>
                <w:szCs w:val="22"/>
              </w:rPr>
              <w:t xml:space="preserve">Efidis </w:t>
            </w:r>
          </w:p>
          <w:p w:rsidR="00580FC6" w:rsidRDefault="00580FC6">
            <w:pPr>
              <w:pStyle w:val="Default"/>
              <w:rPr>
                <w:sz w:val="22"/>
                <w:szCs w:val="22"/>
              </w:rPr>
            </w:pPr>
            <w:r>
              <w:rPr>
                <w:sz w:val="22"/>
                <w:szCs w:val="22"/>
              </w:rPr>
              <w:t xml:space="preserve">France Habitation </w:t>
            </w:r>
          </w:p>
          <w:p w:rsidR="00580FC6" w:rsidRDefault="00580FC6">
            <w:pPr>
              <w:pStyle w:val="Default"/>
              <w:rPr>
                <w:sz w:val="22"/>
                <w:szCs w:val="22"/>
              </w:rPr>
            </w:pPr>
            <w:r>
              <w:rPr>
                <w:sz w:val="22"/>
                <w:szCs w:val="22"/>
              </w:rPr>
              <w:t xml:space="preserve">Logement Francilien </w:t>
            </w:r>
          </w:p>
          <w:p w:rsidR="00580FC6" w:rsidRDefault="00580FC6">
            <w:pPr>
              <w:pStyle w:val="Default"/>
              <w:rPr>
                <w:sz w:val="22"/>
                <w:szCs w:val="22"/>
              </w:rPr>
            </w:pPr>
            <w:r>
              <w:rPr>
                <w:sz w:val="22"/>
                <w:szCs w:val="22"/>
              </w:rPr>
              <w:t xml:space="preserve">OSICA </w:t>
            </w:r>
          </w:p>
        </w:tc>
      </w:tr>
    </w:tbl>
    <w:p w:rsidR="0042539A" w:rsidRPr="0042539A" w:rsidRDefault="0042539A" w:rsidP="0042539A">
      <w:pPr>
        <w:pStyle w:val="Sansinterligne"/>
        <w:rPr>
          <w:lang w:eastAsia="zh-CN"/>
        </w:rPr>
      </w:pPr>
    </w:p>
    <w:p w:rsidR="00B241C6" w:rsidRDefault="00B241C6" w:rsidP="006B4BC1">
      <w:pPr>
        <w:pStyle w:val="Sansinterligne"/>
        <w:rPr>
          <w:rStyle w:val="Titre2Car"/>
        </w:rPr>
      </w:pPr>
      <w:r>
        <w:rPr>
          <w:rStyle w:val="Titre2Car"/>
        </w:rPr>
        <w:t>Budget synthétique de l’action</w:t>
      </w:r>
    </w:p>
    <w:tbl>
      <w:tblPr>
        <w:tblStyle w:val="Grilledutableau"/>
        <w:tblW w:w="9782" w:type="dxa"/>
        <w:tblInd w:w="-176" w:type="dxa"/>
        <w:tblLook w:val="04A0" w:firstRow="1" w:lastRow="0" w:firstColumn="1" w:lastColumn="0" w:noHBand="0" w:noVBand="1"/>
      </w:tblPr>
      <w:tblGrid>
        <w:gridCol w:w="2295"/>
        <w:gridCol w:w="2119"/>
        <w:gridCol w:w="2958"/>
        <w:gridCol w:w="2410"/>
      </w:tblGrid>
      <w:tr w:rsidR="00B241C6" w:rsidRPr="00B241C6" w:rsidTr="00B241C6">
        <w:trPr>
          <w:trHeight w:val="198"/>
        </w:trPr>
        <w:tc>
          <w:tcPr>
            <w:tcW w:w="2295" w:type="dxa"/>
            <w:shd w:val="clear" w:color="auto" w:fill="B6DDE8" w:themeFill="accent5" w:themeFillTint="66"/>
          </w:tcPr>
          <w:p w:rsidR="00B241C6" w:rsidRPr="00B241C6" w:rsidRDefault="00B241C6" w:rsidP="00B241C6">
            <w:r w:rsidRPr="00B241C6">
              <w:t>DEPENSES</w:t>
            </w:r>
          </w:p>
        </w:tc>
        <w:tc>
          <w:tcPr>
            <w:tcW w:w="2119" w:type="dxa"/>
            <w:shd w:val="clear" w:color="auto" w:fill="E5B8B7" w:themeFill="accent2" w:themeFillTint="66"/>
          </w:tcPr>
          <w:p w:rsidR="00B241C6" w:rsidRPr="00B241C6" w:rsidRDefault="00B241C6" w:rsidP="00B241C6">
            <w:r w:rsidRPr="00B241C6">
              <w:t>Montant prévu</w:t>
            </w:r>
          </w:p>
        </w:tc>
        <w:tc>
          <w:tcPr>
            <w:tcW w:w="2958" w:type="dxa"/>
            <w:shd w:val="clear" w:color="auto" w:fill="B6DDE8" w:themeFill="accent5" w:themeFillTint="66"/>
          </w:tcPr>
          <w:p w:rsidR="00B241C6" w:rsidRPr="00B241C6" w:rsidRDefault="00B241C6" w:rsidP="00B241C6">
            <w:r w:rsidRPr="00B241C6">
              <w:t>PRODUITS</w:t>
            </w:r>
          </w:p>
        </w:tc>
        <w:tc>
          <w:tcPr>
            <w:tcW w:w="2410" w:type="dxa"/>
            <w:shd w:val="clear" w:color="auto" w:fill="E5B8B7" w:themeFill="accent2" w:themeFillTint="66"/>
          </w:tcPr>
          <w:p w:rsidR="00B241C6" w:rsidRPr="00B241C6" w:rsidRDefault="00B241C6" w:rsidP="00B241C6">
            <w:r w:rsidRPr="00B241C6">
              <w:t>Montant prévu</w:t>
            </w:r>
          </w:p>
        </w:tc>
      </w:tr>
      <w:tr w:rsidR="00B241C6" w:rsidRPr="00B241C6" w:rsidTr="00B241C6">
        <w:trPr>
          <w:trHeight w:val="846"/>
        </w:trPr>
        <w:tc>
          <w:tcPr>
            <w:tcW w:w="2295" w:type="dxa"/>
          </w:tcPr>
          <w:p w:rsidR="00B241C6" w:rsidRPr="00B241C6" w:rsidRDefault="00B241C6" w:rsidP="00B241C6">
            <w:r w:rsidRPr="00B241C6">
              <w:t>Charges de personnel</w:t>
            </w:r>
          </w:p>
        </w:tc>
        <w:tc>
          <w:tcPr>
            <w:tcW w:w="2119" w:type="dxa"/>
          </w:tcPr>
          <w:p w:rsidR="00B241C6" w:rsidRPr="00B241C6" w:rsidRDefault="00B241C6" w:rsidP="00B241C6">
            <w:pPr>
              <w:jc w:val="right"/>
              <w:rPr>
                <w:rFonts w:eastAsia="Times New Roman" w:cs="Arial"/>
                <w:b/>
                <w:bCs/>
                <w:sz w:val="18"/>
                <w:szCs w:val="18"/>
                <w:lang w:eastAsia="fr-FR"/>
              </w:rPr>
            </w:pPr>
            <w:r w:rsidRPr="00B241C6">
              <w:rPr>
                <w:rFonts w:eastAsia="Times New Roman" w:cs="Arial"/>
                <w:b/>
                <w:bCs/>
                <w:sz w:val="18"/>
                <w:szCs w:val="18"/>
                <w:lang w:eastAsia="fr-FR"/>
              </w:rPr>
              <w:t>114 637</w:t>
            </w:r>
            <w:r w:rsidRPr="00B241C6">
              <w:rPr>
                <w:rFonts w:eastAsia="Times New Roman" w:cs="Arial"/>
                <w:b/>
                <w:bCs/>
                <w:sz w:val="18"/>
                <w:szCs w:val="18"/>
                <w:vertAlign w:val="superscript"/>
                <w:lang w:eastAsia="fr-FR"/>
              </w:rPr>
              <w:footnoteReference w:id="1"/>
            </w:r>
          </w:p>
          <w:p w:rsidR="00B241C6" w:rsidRPr="00B241C6" w:rsidRDefault="00B241C6" w:rsidP="00B241C6">
            <w:pPr>
              <w:jc w:val="right"/>
              <w:rPr>
                <w:rFonts w:eastAsia="Times New Roman" w:cs="Arial"/>
                <w:b/>
                <w:bCs/>
                <w:sz w:val="18"/>
                <w:szCs w:val="18"/>
                <w:lang w:eastAsia="fr-FR"/>
              </w:rPr>
            </w:pPr>
            <w:r w:rsidRPr="00B241C6">
              <w:rPr>
                <w:rFonts w:eastAsia="Times New Roman" w:cs="Arial"/>
                <w:b/>
                <w:bCs/>
                <w:sz w:val="18"/>
                <w:szCs w:val="18"/>
                <w:lang w:eastAsia="fr-FR"/>
              </w:rPr>
              <w:t xml:space="preserve">dont 15067 pris en charge CEAPSY </w:t>
            </w:r>
            <w:r w:rsidRPr="00B241C6">
              <w:rPr>
                <w:rFonts w:eastAsia="Times New Roman" w:cs="Arial"/>
                <w:b/>
                <w:bCs/>
                <w:color w:val="0070C0"/>
                <w:sz w:val="18"/>
                <w:szCs w:val="18"/>
                <w:lang w:eastAsia="fr-FR"/>
              </w:rPr>
              <w:t>soit 99 570 demandé</w:t>
            </w:r>
            <w:r w:rsidRPr="00B241C6">
              <w:rPr>
                <w:rFonts w:eastAsia="Times New Roman" w:cs="Arial"/>
                <w:b/>
                <w:bCs/>
                <w:sz w:val="18"/>
                <w:szCs w:val="18"/>
                <w:lang w:eastAsia="fr-FR"/>
              </w:rPr>
              <w:t xml:space="preserve">  </w:t>
            </w:r>
          </w:p>
          <w:p w:rsidR="00B241C6" w:rsidRPr="00B241C6" w:rsidRDefault="00B241C6" w:rsidP="00B241C6"/>
        </w:tc>
        <w:tc>
          <w:tcPr>
            <w:tcW w:w="2958" w:type="dxa"/>
            <w:vMerge w:val="restart"/>
          </w:tcPr>
          <w:p w:rsidR="00B241C6" w:rsidRPr="00B241C6" w:rsidRDefault="00B241C6" w:rsidP="00B241C6">
            <w:r w:rsidRPr="00B241C6">
              <w:t>Etat-USH « 10 000 logements accompagnés »</w:t>
            </w:r>
          </w:p>
        </w:tc>
        <w:tc>
          <w:tcPr>
            <w:tcW w:w="2410" w:type="dxa"/>
            <w:vMerge w:val="restart"/>
          </w:tcPr>
          <w:p w:rsidR="00B241C6" w:rsidRPr="00B241C6" w:rsidRDefault="00B241C6" w:rsidP="00B241C6">
            <w:pPr>
              <w:jc w:val="right"/>
              <w:rPr>
                <w:b/>
              </w:rPr>
            </w:pPr>
            <w:r w:rsidRPr="00B241C6">
              <w:rPr>
                <w:b/>
              </w:rPr>
              <w:t>109 512</w:t>
            </w:r>
          </w:p>
        </w:tc>
      </w:tr>
      <w:tr w:rsidR="00B241C6" w:rsidRPr="00B241C6" w:rsidTr="00B241C6">
        <w:trPr>
          <w:trHeight w:val="209"/>
        </w:trPr>
        <w:tc>
          <w:tcPr>
            <w:tcW w:w="2295" w:type="dxa"/>
          </w:tcPr>
          <w:p w:rsidR="00B241C6" w:rsidRPr="00B241C6" w:rsidRDefault="00B241C6" w:rsidP="00B241C6">
            <w:r w:rsidRPr="00B241C6">
              <w:t>Ingénierie AFFIL</w:t>
            </w:r>
          </w:p>
        </w:tc>
        <w:tc>
          <w:tcPr>
            <w:tcW w:w="2119" w:type="dxa"/>
          </w:tcPr>
          <w:p w:rsidR="00B241C6" w:rsidRPr="00B241C6" w:rsidRDefault="00B241C6" w:rsidP="00B241C6">
            <w:pPr>
              <w:jc w:val="right"/>
              <w:rPr>
                <w:b/>
              </w:rPr>
            </w:pPr>
            <w:r w:rsidRPr="00B241C6">
              <w:rPr>
                <w:b/>
                <w:color w:val="0070C0"/>
              </w:rPr>
              <w:t>6 942</w:t>
            </w:r>
          </w:p>
        </w:tc>
        <w:tc>
          <w:tcPr>
            <w:tcW w:w="2958" w:type="dxa"/>
            <w:vMerge/>
          </w:tcPr>
          <w:p w:rsidR="00B241C6" w:rsidRPr="00B241C6" w:rsidRDefault="00B241C6" w:rsidP="00B241C6"/>
        </w:tc>
        <w:tc>
          <w:tcPr>
            <w:tcW w:w="2410" w:type="dxa"/>
            <w:vMerge/>
          </w:tcPr>
          <w:p w:rsidR="00B241C6" w:rsidRPr="00B241C6" w:rsidRDefault="00B241C6" w:rsidP="00B241C6"/>
        </w:tc>
      </w:tr>
      <w:tr w:rsidR="00B241C6" w:rsidRPr="00B241C6" w:rsidTr="00B241C6">
        <w:trPr>
          <w:trHeight w:val="198"/>
        </w:trPr>
        <w:tc>
          <w:tcPr>
            <w:tcW w:w="2295" w:type="dxa"/>
          </w:tcPr>
          <w:p w:rsidR="00B241C6" w:rsidRPr="00B241C6" w:rsidRDefault="00B241C6" w:rsidP="00B241C6">
            <w:r w:rsidRPr="00B241C6">
              <w:t>Autres charges</w:t>
            </w:r>
          </w:p>
        </w:tc>
        <w:tc>
          <w:tcPr>
            <w:tcW w:w="2119" w:type="dxa"/>
          </w:tcPr>
          <w:p w:rsidR="00B241C6" w:rsidRPr="00B241C6" w:rsidRDefault="00B241C6" w:rsidP="00B241C6">
            <w:pPr>
              <w:jc w:val="right"/>
              <w:rPr>
                <w:b/>
              </w:rPr>
            </w:pPr>
            <w:r w:rsidRPr="00B241C6">
              <w:rPr>
                <w:b/>
                <w:color w:val="0070C0"/>
              </w:rPr>
              <w:t>25 216</w:t>
            </w:r>
          </w:p>
        </w:tc>
        <w:tc>
          <w:tcPr>
            <w:tcW w:w="2958" w:type="dxa"/>
            <w:vMerge/>
          </w:tcPr>
          <w:p w:rsidR="00B241C6" w:rsidRPr="00B241C6" w:rsidRDefault="00B241C6" w:rsidP="00B241C6"/>
        </w:tc>
        <w:tc>
          <w:tcPr>
            <w:tcW w:w="2410" w:type="dxa"/>
            <w:vMerge/>
          </w:tcPr>
          <w:p w:rsidR="00B241C6" w:rsidRPr="00B241C6" w:rsidRDefault="00B241C6" w:rsidP="00B241C6"/>
        </w:tc>
      </w:tr>
      <w:tr w:rsidR="00B241C6" w:rsidRPr="00B241C6" w:rsidTr="00B241C6">
        <w:trPr>
          <w:trHeight w:val="122"/>
        </w:trPr>
        <w:tc>
          <w:tcPr>
            <w:tcW w:w="2295" w:type="dxa"/>
          </w:tcPr>
          <w:p w:rsidR="00B241C6" w:rsidRPr="00B241C6" w:rsidRDefault="00B241C6" w:rsidP="00B241C6">
            <w:r w:rsidRPr="00B241C6">
              <w:t>Total dépenses</w:t>
            </w:r>
          </w:p>
        </w:tc>
        <w:tc>
          <w:tcPr>
            <w:tcW w:w="2119" w:type="dxa"/>
          </w:tcPr>
          <w:p w:rsidR="00B241C6" w:rsidRPr="00B241C6" w:rsidRDefault="00B241C6" w:rsidP="00B241C6">
            <w:pPr>
              <w:jc w:val="right"/>
              <w:rPr>
                <w:b/>
              </w:rPr>
            </w:pPr>
            <w:r w:rsidRPr="00B241C6">
              <w:rPr>
                <w:b/>
                <w:color w:val="0070C0"/>
              </w:rPr>
              <w:t>146 795</w:t>
            </w:r>
          </w:p>
        </w:tc>
        <w:tc>
          <w:tcPr>
            <w:tcW w:w="2958" w:type="dxa"/>
            <w:vMerge/>
          </w:tcPr>
          <w:p w:rsidR="00B241C6" w:rsidRPr="00B241C6" w:rsidRDefault="00B241C6" w:rsidP="00B241C6"/>
        </w:tc>
        <w:tc>
          <w:tcPr>
            <w:tcW w:w="2410" w:type="dxa"/>
            <w:vMerge/>
          </w:tcPr>
          <w:p w:rsidR="00B241C6" w:rsidRPr="00B241C6" w:rsidRDefault="00B241C6" w:rsidP="00B241C6"/>
        </w:tc>
      </w:tr>
      <w:tr w:rsidR="00B241C6" w:rsidRPr="00B241C6" w:rsidTr="00B241C6">
        <w:trPr>
          <w:trHeight w:val="431"/>
        </w:trPr>
        <w:tc>
          <w:tcPr>
            <w:tcW w:w="2295" w:type="dxa"/>
          </w:tcPr>
          <w:p w:rsidR="00B241C6" w:rsidRPr="00B241C6" w:rsidRDefault="00B241C6" w:rsidP="00B241C6"/>
        </w:tc>
        <w:tc>
          <w:tcPr>
            <w:tcW w:w="2119" w:type="dxa"/>
          </w:tcPr>
          <w:p w:rsidR="00B241C6" w:rsidRPr="00B241C6" w:rsidRDefault="00B241C6" w:rsidP="00B241C6"/>
        </w:tc>
        <w:tc>
          <w:tcPr>
            <w:tcW w:w="2958" w:type="dxa"/>
          </w:tcPr>
          <w:p w:rsidR="00B241C6" w:rsidRPr="00B241C6" w:rsidRDefault="00B241C6" w:rsidP="00B241C6">
            <w:pPr>
              <w:rPr>
                <w:rFonts w:eastAsia="Times New Roman" w:cs="Arial"/>
                <w:b/>
                <w:color w:val="0070C0"/>
                <w:sz w:val="16"/>
                <w:szCs w:val="16"/>
                <w:lang w:eastAsia="fr-FR"/>
              </w:rPr>
            </w:pPr>
            <w:r w:rsidRPr="00B241C6">
              <w:rPr>
                <w:rFonts w:eastAsia="Times New Roman" w:cs="Arial"/>
                <w:b/>
                <w:color w:val="0070C0"/>
                <w:sz w:val="16"/>
                <w:szCs w:val="16"/>
                <w:lang w:eastAsia="fr-FR"/>
              </w:rPr>
              <w:t>RESSOURCES PROPRES AFFECTEES A L’ACTION/</w:t>
            </w:r>
          </w:p>
          <w:p w:rsidR="00B241C6" w:rsidRPr="00B241C6" w:rsidRDefault="00B241C6" w:rsidP="00B241C6">
            <w:r w:rsidRPr="00B241C6">
              <w:rPr>
                <w:rFonts w:eastAsia="Times New Roman" w:cs="Arial"/>
                <w:sz w:val="16"/>
                <w:szCs w:val="16"/>
                <w:lang w:eastAsia="fr-FR"/>
              </w:rPr>
              <w:t>Correspondant aux charges directes/ pris en charge par le CEAPSY via son financement ARS</w:t>
            </w:r>
          </w:p>
        </w:tc>
        <w:tc>
          <w:tcPr>
            <w:tcW w:w="2410" w:type="dxa"/>
          </w:tcPr>
          <w:p w:rsidR="00B241C6" w:rsidRPr="00B241C6" w:rsidRDefault="00B241C6" w:rsidP="00B241C6">
            <w:pPr>
              <w:jc w:val="right"/>
            </w:pPr>
            <w:r w:rsidRPr="00B241C6">
              <w:rPr>
                <w:rFonts w:eastAsia="Times New Roman" w:cs="Arial"/>
                <w:b/>
                <w:lang w:eastAsia="fr-FR"/>
              </w:rPr>
              <w:t>37 283</w:t>
            </w:r>
          </w:p>
        </w:tc>
      </w:tr>
      <w:tr w:rsidR="00B241C6" w:rsidRPr="00B241C6" w:rsidTr="00B241C6">
        <w:trPr>
          <w:trHeight w:val="112"/>
        </w:trPr>
        <w:tc>
          <w:tcPr>
            <w:tcW w:w="2295" w:type="dxa"/>
          </w:tcPr>
          <w:p w:rsidR="00B241C6" w:rsidRPr="00B241C6" w:rsidRDefault="00B241C6" w:rsidP="00B241C6">
            <w:pPr>
              <w:rPr>
                <w:b/>
              </w:rPr>
            </w:pPr>
            <w:r w:rsidRPr="00B241C6">
              <w:rPr>
                <w:b/>
              </w:rPr>
              <w:t>Montant de l’action</w:t>
            </w:r>
          </w:p>
        </w:tc>
        <w:tc>
          <w:tcPr>
            <w:tcW w:w="2119" w:type="dxa"/>
          </w:tcPr>
          <w:p w:rsidR="00B241C6" w:rsidRPr="00B241C6" w:rsidRDefault="00B241C6" w:rsidP="00B241C6">
            <w:pPr>
              <w:jc w:val="right"/>
              <w:rPr>
                <w:b/>
                <w:sz w:val="24"/>
                <w:szCs w:val="24"/>
              </w:rPr>
            </w:pPr>
            <w:r w:rsidRPr="00B241C6">
              <w:rPr>
                <w:b/>
                <w:sz w:val="24"/>
                <w:szCs w:val="24"/>
              </w:rPr>
              <w:t>109 512</w:t>
            </w:r>
          </w:p>
        </w:tc>
        <w:tc>
          <w:tcPr>
            <w:tcW w:w="2958" w:type="dxa"/>
          </w:tcPr>
          <w:p w:rsidR="00B241C6" w:rsidRPr="00B241C6" w:rsidRDefault="00B241C6" w:rsidP="00B241C6">
            <w:pPr>
              <w:rPr>
                <w:rFonts w:eastAsia="Times New Roman" w:cs="Arial"/>
                <w:b/>
                <w:color w:val="0070C0"/>
                <w:sz w:val="20"/>
                <w:szCs w:val="20"/>
                <w:lang w:eastAsia="fr-FR"/>
              </w:rPr>
            </w:pPr>
            <w:r w:rsidRPr="00B241C6">
              <w:rPr>
                <w:rFonts w:eastAsia="Times New Roman" w:cs="Arial"/>
                <w:b/>
                <w:sz w:val="20"/>
                <w:szCs w:val="20"/>
                <w:lang w:eastAsia="fr-FR"/>
              </w:rPr>
              <w:t>Montant de l’action</w:t>
            </w:r>
          </w:p>
        </w:tc>
        <w:tc>
          <w:tcPr>
            <w:tcW w:w="2410" w:type="dxa"/>
          </w:tcPr>
          <w:p w:rsidR="00B241C6" w:rsidRPr="00B241C6" w:rsidRDefault="00B241C6" w:rsidP="00B241C6">
            <w:pPr>
              <w:jc w:val="right"/>
              <w:rPr>
                <w:rFonts w:eastAsia="Times New Roman" w:cs="Arial"/>
                <w:b/>
                <w:sz w:val="24"/>
                <w:szCs w:val="24"/>
                <w:lang w:eastAsia="fr-FR"/>
              </w:rPr>
            </w:pPr>
            <w:r w:rsidRPr="00B241C6">
              <w:rPr>
                <w:rFonts w:eastAsia="Times New Roman" w:cs="Arial"/>
                <w:b/>
                <w:sz w:val="24"/>
                <w:szCs w:val="24"/>
                <w:lang w:eastAsia="fr-FR"/>
              </w:rPr>
              <w:t>109 512</w:t>
            </w:r>
          </w:p>
        </w:tc>
      </w:tr>
    </w:tbl>
    <w:p w:rsidR="00B241C6" w:rsidRDefault="00B241C6" w:rsidP="006B4BC1">
      <w:pPr>
        <w:pStyle w:val="Sansinterligne"/>
        <w:rPr>
          <w:rStyle w:val="Titre2Car"/>
        </w:rPr>
      </w:pPr>
    </w:p>
    <w:p w:rsidR="00B241C6" w:rsidRDefault="00B241C6" w:rsidP="006B4BC1">
      <w:pPr>
        <w:pStyle w:val="Sansinterligne"/>
        <w:rPr>
          <w:rStyle w:val="Titre2Car"/>
        </w:rPr>
      </w:pPr>
    </w:p>
    <w:p w:rsidR="006B4BC1" w:rsidRPr="00DE4E82" w:rsidRDefault="00413925" w:rsidP="006B4BC1">
      <w:pPr>
        <w:pStyle w:val="Sansinterligne"/>
        <w:rPr>
          <w:sz w:val="28"/>
          <w:szCs w:val="28"/>
        </w:rPr>
      </w:pPr>
      <w:r w:rsidRPr="00E27411">
        <w:rPr>
          <w:rStyle w:val="Titre2Car"/>
        </w:rPr>
        <w:t>Date de mise en œuvre</w:t>
      </w:r>
      <w:r w:rsidR="001A4E05" w:rsidRPr="00E27411">
        <w:rPr>
          <w:rStyle w:val="Titre2Car"/>
        </w:rPr>
        <w:t> :</w:t>
      </w:r>
      <w:r w:rsidR="001A4E05">
        <w:t xml:space="preserve"> </w:t>
      </w:r>
      <w:r w:rsidR="001A4E05">
        <w:rPr>
          <w:b/>
        </w:rPr>
        <w:t>p</w:t>
      </w:r>
      <w:r w:rsidR="00580FC6" w:rsidRPr="001A4E05">
        <w:rPr>
          <w:b/>
        </w:rPr>
        <w:t>remier trimestre 2015</w:t>
      </w:r>
    </w:p>
    <w:sectPr w:rsidR="006B4BC1" w:rsidRPr="00DE4E82" w:rsidSect="00E27411">
      <w:headerReference w:type="even" r:id="rId11"/>
      <w:headerReference w:type="default" r:id="rId12"/>
      <w:footerReference w:type="even" r:id="rId13"/>
      <w:footerReference w:type="default" r:id="rId14"/>
      <w:headerReference w:type="first" r:id="rId15"/>
      <w:footerReference w:type="first" r:id="rId16"/>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9B9" w:rsidRDefault="006709B9" w:rsidP="00D127D7">
      <w:pPr>
        <w:spacing w:after="0" w:line="240" w:lineRule="auto"/>
      </w:pPr>
      <w:r>
        <w:separator/>
      </w:r>
    </w:p>
  </w:endnote>
  <w:endnote w:type="continuationSeparator" w:id="0">
    <w:p w:rsidR="006709B9" w:rsidRDefault="006709B9" w:rsidP="00D127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B19" w:rsidRDefault="00654B19">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B19" w:rsidRDefault="00654B19">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B19" w:rsidRDefault="00654B1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9B9" w:rsidRDefault="006709B9" w:rsidP="00D127D7">
      <w:pPr>
        <w:spacing w:after="0" w:line="240" w:lineRule="auto"/>
      </w:pPr>
      <w:r>
        <w:separator/>
      </w:r>
    </w:p>
  </w:footnote>
  <w:footnote w:type="continuationSeparator" w:id="0">
    <w:p w:rsidR="006709B9" w:rsidRDefault="006709B9" w:rsidP="00D127D7">
      <w:pPr>
        <w:spacing w:after="0" w:line="240" w:lineRule="auto"/>
      </w:pPr>
      <w:r>
        <w:continuationSeparator/>
      </w:r>
    </w:p>
  </w:footnote>
  <w:footnote w:id="1">
    <w:p w:rsidR="00B241C6" w:rsidRPr="002E39C3" w:rsidRDefault="00B241C6" w:rsidP="00B241C6">
      <w:pPr>
        <w:pStyle w:val="Notedebasdepage"/>
      </w:pPr>
      <w:r>
        <w:rPr>
          <w:rStyle w:val="Appelnotedebasdep"/>
        </w:rPr>
        <w:footnoteRef/>
      </w:r>
      <w:r>
        <w:t xml:space="preserve"> Cf. Tableau du détail des postes ci-joint.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B19" w:rsidRDefault="00654B19">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DA4" w:rsidRDefault="00654B19">
    <w:pPr>
      <w:pStyle w:val="En-tte"/>
    </w:pPr>
    <w:r>
      <w:t>11</w:t>
    </w:r>
    <w:r w:rsidR="00D77A71">
      <w:t xml:space="preserve"> décembre</w:t>
    </w:r>
    <w:r w:rsidR="00161DA4">
      <w:t xml:space="preserve"> 2014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B19" w:rsidRDefault="00654B1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26499"/>
    <w:multiLevelType w:val="hybridMultilevel"/>
    <w:tmpl w:val="C944DC78"/>
    <w:lvl w:ilvl="0" w:tplc="02885C84">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5857789"/>
    <w:multiLevelType w:val="hybridMultilevel"/>
    <w:tmpl w:val="5ACE19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07A71F0"/>
    <w:multiLevelType w:val="hybridMultilevel"/>
    <w:tmpl w:val="DDD48B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BC1"/>
    <w:rsid w:val="000830F2"/>
    <w:rsid w:val="00161DA4"/>
    <w:rsid w:val="001A4E05"/>
    <w:rsid w:val="00200621"/>
    <w:rsid w:val="00250017"/>
    <w:rsid w:val="002E5A7D"/>
    <w:rsid w:val="003228E9"/>
    <w:rsid w:val="00413925"/>
    <w:rsid w:val="0042539A"/>
    <w:rsid w:val="004B54AD"/>
    <w:rsid w:val="004E0D91"/>
    <w:rsid w:val="00535058"/>
    <w:rsid w:val="00547B76"/>
    <w:rsid w:val="00580FC6"/>
    <w:rsid w:val="00654B19"/>
    <w:rsid w:val="006709B9"/>
    <w:rsid w:val="006B4BC1"/>
    <w:rsid w:val="00715465"/>
    <w:rsid w:val="0081743E"/>
    <w:rsid w:val="00845311"/>
    <w:rsid w:val="00916ABA"/>
    <w:rsid w:val="00954A03"/>
    <w:rsid w:val="00AE3B52"/>
    <w:rsid w:val="00AE6882"/>
    <w:rsid w:val="00B241C6"/>
    <w:rsid w:val="00B36049"/>
    <w:rsid w:val="00D127D7"/>
    <w:rsid w:val="00D33A2F"/>
    <w:rsid w:val="00D77A71"/>
    <w:rsid w:val="00DE4E82"/>
    <w:rsid w:val="00E27411"/>
    <w:rsid w:val="00E561AD"/>
    <w:rsid w:val="00E85E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uiPriority w:val="9"/>
    <w:unhideWhenUsed/>
    <w:qFormat/>
    <w:rsid w:val="0041392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200621"/>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6B4BC1"/>
    <w:pPr>
      <w:spacing w:after="0" w:line="240" w:lineRule="auto"/>
    </w:pPr>
  </w:style>
  <w:style w:type="paragraph" w:styleId="Titre">
    <w:name w:val="Title"/>
    <w:basedOn w:val="Normal"/>
    <w:next w:val="Normal"/>
    <w:link w:val="TitreCar"/>
    <w:uiPriority w:val="10"/>
    <w:qFormat/>
    <w:rsid w:val="006B4BC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6B4BC1"/>
    <w:rPr>
      <w:rFonts w:asciiTheme="majorHAnsi" w:eastAsiaTheme="majorEastAsia" w:hAnsiTheme="majorHAnsi" w:cstheme="majorBidi"/>
      <w:color w:val="17365D" w:themeColor="text2" w:themeShade="BF"/>
      <w:spacing w:val="5"/>
      <w:kern w:val="28"/>
      <w:sz w:val="52"/>
      <w:szCs w:val="52"/>
    </w:rPr>
  </w:style>
  <w:style w:type="character" w:styleId="Emphaseple">
    <w:name w:val="Subtle Emphasis"/>
    <w:basedOn w:val="Policepardfaut"/>
    <w:uiPriority w:val="19"/>
    <w:qFormat/>
    <w:rsid w:val="006B4BC1"/>
    <w:rPr>
      <w:i/>
      <w:iCs/>
      <w:color w:val="808080" w:themeColor="text1" w:themeTint="7F"/>
    </w:rPr>
  </w:style>
  <w:style w:type="paragraph" w:styleId="Sous-titre">
    <w:name w:val="Subtitle"/>
    <w:basedOn w:val="Normal"/>
    <w:next w:val="Normal"/>
    <w:link w:val="Sous-titreCar"/>
    <w:uiPriority w:val="11"/>
    <w:qFormat/>
    <w:rsid w:val="006B4BC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6B4BC1"/>
    <w:rPr>
      <w:rFonts w:asciiTheme="majorHAnsi" w:eastAsiaTheme="majorEastAsia" w:hAnsiTheme="majorHAnsi" w:cstheme="majorBidi"/>
      <w:i/>
      <w:iCs/>
      <w:color w:val="4F81BD" w:themeColor="accent1"/>
      <w:spacing w:val="15"/>
      <w:sz w:val="24"/>
      <w:szCs w:val="24"/>
    </w:rPr>
  </w:style>
  <w:style w:type="character" w:customStyle="1" w:styleId="Titre2Car">
    <w:name w:val="Titre 2 Car"/>
    <w:basedOn w:val="Policepardfaut"/>
    <w:link w:val="Titre2"/>
    <w:uiPriority w:val="9"/>
    <w:rsid w:val="00413925"/>
    <w:rPr>
      <w:rFonts w:asciiTheme="majorHAnsi" w:eastAsiaTheme="majorEastAsia" w:hAnsiTheme="majorHAnsi" w:cstheme="majorBidi"/>
      <w:b/>
      <w:bCs/>
      <w:color w:val="4F81BD" w:themeColor="accent1"/>
      <w:sz w:val="26"/>
      <w:szCs w:val="26"/>
    </w:rPr>
  </w:style>
  <w:style w:type="paragraph" w:styleId="Paragraphedeliste">
    <w:name w:val="List Paragraph"/>
    <w:basedOn w:val="Normal"/>
    <w:uiPriority w:val="34"/>
    <w:qFormat/>
    <w:rsid w:val="00413925"/>
    <w:pPr>
      <w:ind w:left="720"/>
      <w:contextualSpacing/>
    </w:pPr>
  </w:style>
  <w:style w:type="character" w:customStyle="1" w:styleId="Titre3Car">
    <w:name w:val="Titre 3 Car"/>
    <w:basedOn w:val="Policepardfaut"/>
    <w:link w:val="Titre3"/>
    <w:uiPriority w:val="9"/>
    <w:rsid w:val="00200621"/>
    <w:rPr>
      <w:rFonts w:asciiTheme="majorHAnsi" w:eastAsiaTheme="majorEastAsia" w:hAnsiTheme="majorHAnsi" w:cstheme="majorBidi"/>
      <w:b/>
      <w:bCs/>
      <w:color w:val="4F81BD" w:themeColor="accent1"/>
    </w:rPr>
  </w:style>
  <w:style w:type="paragraph" w:customStyle="1" w:styleId="Default">
    <w:name w:val="Default"/>
    <w:rsid w:val="00845311"/>
    <w:pPr>
      <w:autoSpaceDE w:val="0"/>
      <w:autoSpaceDN w:val="0"/>
      <w:adjustRightInd w:val="0"/>
      <w:spacing w:after="0" w:line="240" w:lineRule="auto"/>
    </w:pPr>
    <w:rPr>
      <w:rFonts w:ascii="Calibri" w:hAnsi="Calibri" w:cs="Calibri"/>
      <w:color w:val="000000"/>
      <w:sz w:val="24"/>
      <w:szCs w:val="24"/>
    </w:rPr>
  </w:style>
  <w:style w:type="paragraph" w:styleId="Textedebulles">
    <w:name w:val="Balloon Text"/>
    <w:basedOn w:val="Normal"/>
    <w:link w:val="TextedebullesCar"/>
    <w:uiPriority w:val="99"/>
    <w:semiHidden/>
    <w:unhideWhenUsed/>
    <w:rsid w:val="0084531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45311"/>
    <w:rPr>
      <w:rFonts w:ascii="Tahoma" w:hAnsi="Tahoma" w:cs="Tahoma"/>
      <w:sz w:val="16"/>
      <w:szCs w:val="16"/>
    </w:rPr>
  </w:style>
  <w:style w:type="paragraph" w:styleId="En-tte">
    <w:name w:val="header"/>
    <w:basedOn w:val="Normal"/>
    <w:link w:val="En-tteCar"/>
    <w:uiPriority w:val="99"/>
    <w:unhideWhenUsed/>
    <w:rsid w:val="00D127D7"/>
    <w:pPr>
      <w:tabs>
        <w:tab w:val="center" w:pos="4536"/>
        <w:tab w:val="right" w:pos="9072"/>
      </w:tabs>
      <w:spacing w:after="0" w:line="240" w:lineRule="auto"/>
    </w:pPr>
  </w:style>
  <w:style w:type="character" w:customStyle="1" w:styleId="En-tteCar">
    <w:name w:val="En-tête Car"/>
    <w:basedOn w:val="Policepardfaut"/>
    <w:link w:val="En-tte"/>
    <w:uiPriority w:val="99"/>
    <w:rsid w:val="00D127D7"/>
  </w:style>
  <w:style w:type="paragraph" w:styleId="Pieddepage">
    <w:name w:val="footer"/>
    <w:basedOn w:val="Normal"/>
    <w:link w:val="PieddepageCar"/>
    <w:uiPriority w:val="99"/>
    <w:unhideWhenUsed/>
    <w:rsid w:val="00D127D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127D7"/>
  </w:style>
  <w:style w:type="paragraph" w:styleId="Notedebasdepage">
    <w:name w:val="footnote text"/>
    <w:basedOn w:val="Normal"/>
    <w:link w:val="NotedebasdepageCar"/>
    <w:uiPriority w:val="99"/>
    <w:semiHidden/>
    <w:unhideWhenUsed/>
    <w:rsid w:val="00B241C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241C6"/>
    <w:rPr>
      <w:sz w:val="20"/>
      <w:szCs w:val="20"/>
    </w:rPr>
  </w:style>
  <w:style w:type="character" w:styleId="Appelnotedebasdep">
    <w:name w:val="footnote reference"/>
    <w:uiPriority w:val="99"/>
    <w:semiHidden/>
    <w:unhideWhenUsed/>
    <w:rsid w:val="00B241C6"/>
    <w:rPr>
      <w:vertAlign w:val="superscript"/>
    </w:rPr>
  </w:style>
  <w:style w:type="table" w:styleId="Grilledutableau">
    <w:name w:val="Table Grid"/>
    <w:basedOn w:val="TableauNormal"/>
    <w:uiPriority w:val="59"/>
    <w:rsid w:val="00B241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uiPriority w:val="9"/>
    <w:unhideWhenUsed/>
    <w:qFormat/>
    <w:rsid w:val="0041392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200621"/>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6B4BC1"/>
    <w:pPr>
      <w:spacing w:after="0" w:line="240" w:lineRule="auto"/>
    </w:pPr>
  </w:style>
  <w:style w:type="paragraph" w:styleId="Titre">
    <w:name w:val="Title"/>
    <w:basedOn w:val="Normal"/>
    <w:next w:val="Normal"/>
    <w:link w:val="TitreCar"/>
    <w:uiPriority w:val="10"/>
    <w:qFormat/>
    <w:rsid w:val="006B4BC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6B4BC1"/>
    <w:rPr>
      <w:rFonts w:asciiTheme="majorHAnsi" w:eastAsiaTheme="majorEastAsia" w:hAnsiTheme="majorHAnsi" w:cstheme="majorBidi"/>
      <w:color w:val="17365D" w:themeColor="text2" w:themeShade="BF"/>
      <w:spacing w:val="5"/>
      <w:kern w:val="28"/>
      <w:sz w:val="52"/>
      <w:szCs w:val="52"/>
    </w:rPr>
  </w:style>
  <w:style w:type="character" w:styleId="Emphaseple">
    <w:name w:val="Subtle Emphasis"/>
    <w:basedOn w:val="Policepardfaut"/>
    <w:uiPriority w:val="19"/>
    <w:qFormat/>
    <w:rsid w:val="006B4BC1"/>
    <w:rPr>
      <w:i/>
      <w:iCs/>
      <w:color w:val="808080" w:themeColor="text1" w:themeTint="7F"/>
    </w:rPr>
  </w:style>
  <w:style w:type="paragraph" w:styleId="Sous-titre">
    <w:name w:val="Subtitle"/>
    <w:basedOn w:val="Normal"/>
    <w:next w:val="Normal"/>
    <w:link w:val="Sous-titreCar"/>
    <w:uiPriority w:val="11"/>
    <w:qFormat/>
    <w:rsid w:val="006B4BC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6B4BC1"/>
    <w:rPr>
      <w:rFonts w:asciiTheme="majorHAnsi" w:eastAsiaTheme="majorEastAsia" w:hAnsiTheme="majorHAnsi" w:cstheme="majorBidi"/>
      <w:i/>
      <w:iCs/>
      <w:color w:val="4F81BD" w:themeColor="accent1"/>
      <w:spacing w:val="15"/>
      <w:sz w:val="24"/>
      <w:szCs w:val="24"/>
    </w:rPr>
  </w:style>
  <w:style w:type="character" w:customStyle="1" w:styleId="Titre2Car">
    <w:name w:val="Titre 2 Car"/>
    <w:basedOn w:val="Policepardfaut"/>
    <w:link w:val="Titre2"/>
    <w:uiPriority w:val="9"/>
    <w:rsid w:val="00413925"/>
    <w:rPr>
      <w:rFonts w:asciiTheme="majorHAnsi" w:eastAsiaTheme="majorEastAsia" w:hAnsiTheme="majorHAnsi" w:cstheme="majorBidi"/>
      <w:b/>
      <w:bCs/>
      <w:color w:val="4F81BD" w:themeColor="accent1"/>
      <w:sz w:val="26"/>
      <w:szCs w:val="26"/>
    </w:rPr>
  </w:style>
  <w:style w:type="paragraph" w:styleId="Paragraphedeliste">
    <w:name w:val="List Paragraph"/>
    <w:basedOn w:val="Normal"/>
    <w:uiPriority w:val="34"/>
    <w:qFormat/>
    <w:rsid w:val="00413925"/>
    <w:pPr>
      <w:ind w:left="720"/>
      <w:contextualSpacing/>
    </w:pPr>
  </w:style>
  <w:style w:type="character" w:customStyle="1" w:styleId="Titre3Car">
    <w:name w:val="Titre 3 Car"/>
    <w:basedOn w:val="Policepardfaut"/>
    <w:link w:val="Titre3"/>
    <w:uiPriority w:val="9"/>
    <w:rsid w:val="00200621"/>
    <w:rPr>
      <w:rFonts w:asciiTheme="majorHAnsi" w:eastAsiaTheme="majorEastAsia" w:hAnsiTheme="majorHAnsi" w:cstheme="majorBidi"/>
      <w:b/>
      <w:bCs/>
      <w:color w:val="4F81BD" w:themeColor="accent1"/>
    </w:rPr>
  </w:style>
  <w:style w:type="paragraph" w:customStyle="1" w:styleId="Default">
    <w:name w:val="Default"/>
    <w:rsid w:val="00845311"/>
    <w:pPr>
      <w:autoSpaceDE w:val="0"/>
      <w:autoSpaceDN w:val="0"/>
      <w:adjustRightInd w:val="0"/>
      <w:spacing w:after="0" w:line="240" w:lineRule="auto"/>
    </w:pPr>
    <w:rPr>
      <w:rFonts w:ascii="Calibri" w:hAnsi="Calibri" w:cs="Calibri"/>
      <w:color w:val="000000"/>
      <w:sz w:val="24"/>
      <w:szCs w:val="24"/>
    </w:rPr>
  </w:style>
  <w:style w:type="paragraph" w:styleId="Textedebulles">
    <w:name w:val="Balloon Text"/>
    <w:basedOn w:val="Normal"/>
    <w:link w:val="TextedebullesCar"/>
    <w:uiPriority w:val="99"/>
    <w:semiHidden/>
    <w:unhideWhenUsed/>
    <w:rsid w:val="0084531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45311"/>
    <w:rPr>
      <w:rFonts w:ascii="Tahoma" w:hAnsi="Tahoma" w:cs="Tahoma"/>
      <w:sz w:val="16"/>
      <w:szCs w:val="16"/>
    </w:rPr>
  </w:style>
  <w:style w:type="paragraph" w:styleId="En-tte">
    <w:name w:val="header"/>
    <w:basedOn w:val="Normal"/>
    <w:link w:val="En-tteCar"/>
    <w:uiPriority w:val="99"/>
    <w:unhideWhenUsed/>
    <w:rsid w:val="00D127D7"/>
    <w:pPr>
      <w:tabs>
        <w:tab w:val="center" w:pos="4536"/>
        <w:tab w:val="right" w:pos="9072"/>
      </w:tabs>
      <w:spacing w:after="0" w:line="240" w:lineRule="auto"/>
    </w:pPr>
  </w:style>
  <w:style w:type="character" w:customStyle="1" w:styleId="En-tteCar">
    <w:name w:val="En-tête Car"/>
    <w:basedOn w:val="Policepardfaut"/>
    <w:link w:val="En-tte"/>
    <w:uiPriority w:val="99"/>
    <w:rsid w:val="00D127D7"/>
  </w:style>
  <w:style w:type="paragraph" w:styleId="Pieddepage">
    <w:name w:val="footer"/>
    <w:basedOn w:val="Normal"/>
    <w:link w:val="PieddepageCar"/>
    <w:uiPriority w:val="99"/>
    <w:unhideWhenUsed/>
    <w:rsid w:val="00D127D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127D7"/>
  </w:style>
  <w:style w:type="paragraph" w:styleId="Notedebasdepage">
    <w:name w:val="footnote text"/>
    <w:basedOn w:val="Normal"/>
    <w:link w:val="NotedebasdepageCar"/>
    <w:uiPriority w:val="99"/>
    <w:semiHidden/>
    <w:unhideWhenUsed/>
    <w:rsid w:val="00B241C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241C6"/>
    <w:rPr>
      <w:sz w:val="20"/>
      <w:szCs w:val="20"/>
    </w:rPr>
  </w:style>
  <w:style w:type="character" w:styleId="Appelnotedebasdep">
    <w:name w:val="footnote reference"/>
    <w:uiPriority w:val="99"/>
    <w:semiHidden/>
    <w:unhideWhenUsed/>
    <w:rsid w:val="00B241C6"/>
    <w:rPr>
      <w:vertAlign w:val="superscript"/>
    </w:rPr>
  </w:style>
  <w:style w:type="table" w:styleId="Grilledutableau">
    <w:name w:val="Table Grid"/>
    <w:basedOn w:val="TableauNormal"/>
    <w:uiPriority w:val="59"/>
    <w:rsid w:val="00B241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http://idata.over-blog.com/2/91/09/96/AF-LOGOS-PANTONE-180309-copie.jp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01F40-C673-4519-9A89-78D35D5D2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686</Words>
  <Characters>3776</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USH</Company>
  <LinksUpToDate>false</LinksUpToDate>
  <CharactersWithSpaces>4454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xxxx</dc:creator>
  <cp:lastModifiedBy>utilisateur</cp:lastModifiedBy>
  <cp:revision>2</cp:revision>
  <cp:lastPrinted>2014-12-09T10:14:00Z</cp:lastPrinted>
  <dcterms:created xsi:type="dcterms:W3CDTF">2014-12-09T10:14:00Z</dcterms:created>
  <dcterms:modified xsi:type="dcterms:W3CDTF">2014-12-09T10:14:00Z</dcterms:modified>
</cp:coreProperties>
</file>